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9AEF9" w14:textId="77777777" w:rsidR="008615BA" w:rsidRPr="008615BA" w:rsidRDefault="008615BA" w:rsidP="008615BA">
      <w:pPr>
        <w:spacing w:line="240" w:lineRule="auto"/>
        <w:jc w:val="center"/>
        <w:rPr>
          <w:b/>
          <w:bCs/>
          <w:sz w:val="28"/>
          <w:szCs w:val="28"/>
        </w:rPr>
      </w:pPr>
      <w:r w:rsidRPr="008615BA">
        <w:rPr>
          <w:b/>
          <w:bCs/>
          <w:sz w:val="28"/>
          <w:szCs w:val="28"/>
        </w:rPr>
        <w:t>Ambulatory Medication Management Operations</w:t>
      </w:r>
    </w:p>
    <w:p w14:paraId="1C8A78BA" w14:textId="77777777" w:rsidR="008615BA" w:rsidRPr="008615BA" w:rsidRDefault="008615BA" w:rsidP="008615BA">
      <w:pPr>
        <w:spacing w:line="240" w:lineRule="auto"/>
        <w:rPr>
          <w:b/>
          <w:bCs/>
        </w:rPr>
      </w:pPr>
      <w:r w:rsidRPr="008615BA">
        <w:rPr>
          <w:b/>
          <w:bCs/>
        </w:rPr>
        <w:t>Purpose</w:t>
      </w:r>
    </w:p>
    <w:p w14:paraId="29F11CE7" w14:textId="7F3EB262" w:rsidR="008615BA" w:rsidRDefault="008615BA" w:rsidP="008615BA">
      <w:pPr>
        <w:spacing w:line="240" w:lineRule="auto"/>
      </w:pPr>
      <w:r>
        <w:t>This document establishes standardized operational expectations for medication management in adult ambulatory primary care clinics. It applies to nurse practitioners, physicians, pharmacists, registered nurses, medical assistants, and care coordinators involved in medication review and follow-up.</w:t>
      </w:r>
    </w:p>
    <w:p w14:paraId="21EE9F30" w14:textId="77777777" w:rsidR="008615BA" w:rsidRPr="008615BA" w:rsidRDefault="008615BA" w:rsidP="008615BA">
      <w:pPr>
        <w:spacing w:line="240" w:lineRule="auto"/>
        <w:rPr>
          <w:b/>
          <w:bCs/>
        </w:rPr>
      </w:pPr>
      <w:r w:rsidRPr="008615BA">
        <w:rPr>
          <w:b/>
          <w:bCs/>
        </w:rPr>
        <w:t>Medication Reconciliation</w:t>
      </w:r>
    </w:p>
    <w:p w14:paraId="5A5DC309" w14:textId="77777777" w:rsidR="008615BA" w:rsidRDefault="008615BA" w:rsidP="008615BA">
      <w:pPr>
        <w:spacing w:line="240" w:lineRule="auto"/>
      </w:pPr>
      <w:r>
        <w:t>Medication reconciliation is required after hospital discharge, emergency department visits, specialist consultations, and whenever a patient reports medication changes. Discrepancies must be investigated before the medication list is finalized.</w:t>
      </w:r>
    </w:p>
    <w:p w14:paraId="5A101EDD" w14:textId="77777777" w:rsidR="008615BA" w:rsidRPr="008615BA" w:rsidRDefault="008615BA" w:rsidP="008615BA">
      <w:pPr>
        <w:spacing w:line="240" w:lineRule="auto"/>
        <w:rPr>
          <w:b/>
          <w:bCs/>
        </w:rPr>
      </w:pPr>
      <w:r w:rsidRPr="008615BA">
        <w:rPr>
          <w:b/>
          <w:bCs/>
        </w:rPr>
        <w:t>High-Risk Medication Review</w:t>
      </w:r>
    </w:p>
    <w:p w14:paraId="377CE205" w14:textId="77777777" w:rsidR="008615BA" w:rsidRDefault="008615BA" w:rsidP="008615BA">
      <w:pPr>
        <w:spacing w:line="240" w:lineRule="auto"/>
      </w:pPr>
      <w:r>
        <w:t>Patients aged 65 years or older, those taking ten or more medications, patients with chronic kidney disease, recurrent falls, cognitive impairment, anticoagulants, insulin, opioids, benzodiazepines, or multiple CNS-active medications require comprehensive medication review.</w:t>
      </w:r>
    </w:p>
    <w:p w14:paraId="4CF7BC92" w14:textId="77777777" w:rsidR="008615BA" w:rsidRPr="008615BA" w:rsidRDefault="008615BA" w:rsidP="008615BA">
      <w:pPr>
        <w:spacing w:line="240" w:lineRule="auto"/>
        <w:rPr>
          <w:b/>
          <w:bCs/>
        </w:rPr>
      </w:pPr>
      <w:r w:rsidRPr="008615BA">
        <w:rPr>
          <w:b/>
          <w:bCs/>
        </w:rPr>
        <w:t>Pharmacist Referral</w:t>
      </w:r>
    </w:p>
    <w:p w14:paraId="570A1650" w14:textId="77777777" w:rsidR="008615BA" w:rsidRDefault="008615BA" w:rsidP="008615BA">
      <w:pPr>
        <w:spacing w:line="240" w:lineRule="auto"/>
      </w:pPr>
      <w:r>
        <w:t>Refer patients with potentially inappropriate medications, significant drug-drug interactions, recurrent adverse drug events, adherence concerns, complex deprescribing needs, or polypharmacy requiring optimization.</w:t>
      </w:r>
    </w:p>
    <w:p w14:paraId="3906DCC5" w14:textId="77777777" w:rsidR="008615BA" w:rsidRPr="008615BA" w:rsidRDefault="008615BA" w:rsidP="008615BA">
      <w:pPr>
        <w:spacing w:line="240" w:lineRule="auto"/>
        <w:rPr>
          <w:b/>
          <w:bCs/>
        </w:rPr>
      </w:pPr>
      <w:r w:rsidRPr="008615BA">
        <w:rPr>
          <w:b/>
          <w:bCs/>
        </w:rPr>
        <w:t>Laboratory Monitoring</w:t>
      </w:r>
    </w:p>
    <w:p w14:paraId="57504602" w14:textId="77777777" w:rsidR="008615BA" w:rsidRDefault="008615BA" w:rsidP="008615BA">
      <w:pPr>
        <w:spacing w:line="240" w:lineRule="auto"/>
      </w:pPr>
      <w:r>
        <w:t>Medication-related laboratory monitoring should follow evidence-based recommendations. Abnormal laboratory results requiring medication changes should be communicated promptly to the prescribing clinician.</w:t>
      </w:r>
    </w:p>
    <w:p w14:paraId="3D9AAFC4" w14:textId="77777777" w:rsidR="008615BA" w:rsidRPr="008615BA" w:rsidRDefault="008615BA" w:rsidP="008615BA">
      <w:pPr>
        <w:spacing w:line="240" w:lineRule="auto"/>
        <w:rPr>
          <w:b/>
          <w:bCs/>
        </w:rPr>
      </w:pPr>
      <w:r w:rsidRPr="008615BA">
        <w:rPr>
          <w:b/>
          <w:bCs/>
        </w:rPr>
        <w:t>Follow-Up Expectations</w:t>
      </w:r>
    </w:p>
    <w:p w14:paraId="7255C166" w14:textId="77777777" w:rsidR="008615BA" w:rsidRDefault="008615BA" w:rsidP="008615BA">
      <w:pPr>
        <w:spacing w:line="240" w:lineRule="auto"/>
      </w:pPr>
      <w:r>
        <w:t>Patients started on, stopped, or significantly changed high-risk medications should receive documented follow-up within an interval appropriate for the medication, clinical status, and monitoring requirements.</w:t>
      </w:r>
    </w:p>
    <w:p w14:paraId="5EE96608" w14:textId="77777777" w:rsidR="008615BA" w:rsidRPr="008615BA" w:rsidRDefault="008615BA" w:rsidP="008615BA">
      <w:pPr>
        <w:spacing w:line="240" w:lineRule="auto"/>
        <w:rPr>
          <w:b/>
          <w:bCs/>
        </w:rPr>
      </w:pPr>
      <w:r w:rsidRPr="008615BA">
        <w:rPr>
          <w:b/>
          <w:bCs/>
        </w:rPr>
        <w:t>Documentation Standards</w:t>
      </w:r>
    </w:p>
    <w:p w14:paraId="3AFC2409" w14:textId="77777777" w:rsidR="008615BA" w:rsidRDefault="008615BA" w:rsidP="008615BA">
      <w:pPr>
        <w:spacing w:line="240" w:lineRule="auto"/>
      </w:pPr>
      <w:r>
        <w:t>Document medication changes, rationale, patient education, monitoring plans, follow-up recommendations, unresolved discrepancies, and communication with other clinicians.</w:t>
      </w:r>
    </w:p>
    <w:p w14:paraId="75FF5305" w14:textId="77777777" w:rsidR="008615BA" w:rsidRPr="008615BA" w:rsidRDefault="008615BA" w:rsidP="008615BA">
      <w:pPr>
        <w:spacing w:line="240" w:lineRule="auto"/>
        <w:rPr>
          <w:b/>
          <w:bCs/>
        </w:rPr>
      </w:pPr>
      <w:r w:rsidRPr="008615BA">
        <w:rPr>
          <w:b/>
          <w:bCs/>
        </w:rPr>
        <w:t>Interdisciplinary Responsibilities</w:t>
      </w:r>
    </w:p>
    <w:p w14:paraId="5F20DA48" w14:textId="77777777" w:rsidR="008615BA" w:rsidRDefault="008615BA" w:rsidP="008615BA">
      <w:pPr>
        <w:spacing w:line="240" w:lineRule="auto"/>
      </w:pPr>
      <w:r>
        <w:t>Nurse practitioners oversee clinical decision-making. Pharmacists provide medication optimization recommendations. Registered nurses reinforce education and monitor symptoms. Medical assistants update medication histories but do not independently modify treatment plans.</w:t>
      </w:r>
    </w:p>
    <w:p w14:paraId="0A62D28D" w14:textId="77777777" w:rsidR="008615BA" w:rsidRPr="008615BA" w:rsidRDefault="008615BA" w:rsidP="008615BA">
      <w:pPr>
        <w:spacing w:line="240" w:lineRule="auto"/>
        <w:rPr>
          <w:b/>
          <w:bCs/>
        </w:rPr>
      </w:pPr>
      <w:r w:rsidRPr="008615BA">
        <w:rPr>
          <w:b/>
          <w:bCs/>
        </w:rPr>
        <w:lastRenderedPageBreak/>
        <w:t>Care Coordination</w:t>
      </w:r>
    </w:p>
    <w:p w14:paraId="0C342F43" w14:textId="77777777" w:rsidR="008615BA" w:rsidRDefault="008615BA" w:rsidP="008615BA">
      <w:pPr>
        <w:spacing w:line="240" w:lineRule="auto"/>
      </w:pPr>
      <w:r>
        <w:t>Medication changes made by hospitals or specialists should be reconciled with the primary care record. Conflicting medication lists should be resolved before routine refills are authorized.</w:t>
      </w:r>
    </w:p>
    <w:p w14:paraId="4905CE1E" w14:textId="77777777" w:rsidR="008615BA" w:rsidRPr="008615BA" w:rsidRDefault="008615BA" w:rsidP="008615BA">
      <w:pPr>
        <w:spacing w:line="240" w:lineRule="auto"/>
        <w:rPr>
          <w:b/>
          <w:bCs/>
        </w:rPr>
      </w:pPr>
      <w:r w:rsidRPr="008615BA">
        <w:rPr>
          <w:b/>
          <w:bCs/>
        </w:rPr>
        <w:t>Quality Metrics</w:t>
      </w:r>
    </w:p>
    <w:p w14:paraId="24EE83BB" w14:textId="7EC13840" w:rsidR="001B3EEB" w:rsidRDefault="008615BA" w:rsidP="008615BA">
      <w:pPr>
        <w:spacing w:line="240" w:lineRule="auto"/>
      </w:pPr>
      <w:r>
        <w:t>Track completion of medication reconciliation, pharmacist referrals, high-risk medication reviews, laboratory monitoring, documented deprescribing discussions, and preventable medication-related emergency department visits and hospitalizations.</w:t>
      </w:r>
    </w:p>
    <w:sectPr w:rsidR="001B3E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5BA"/>
    <w:rsid w:val="001B3EEB"/>
    <w:rsid w:val="00663C9D"/>
    <w:rsid w:val="008615BA"/>
    <w:rsid w:val="00864884"/>
    <w:rsid w:val="00E24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49465"/>
  <w15:chartTrackingRefBased/>
  <w15:docId w15:val="{D13AC832-F3E7-45CF-BE49-0D8C4DD6B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5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15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15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15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15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15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5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5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5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5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15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15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15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15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15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5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5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5BA"/>
    <w:rPr>
      <w:rFonts w:eastAsiaTheme="majorEastAsia" w:cstheme="majorBidi"/>
      <w:color w:val="272727" w:themeColor="text1" w:themeTint="D8"/>
    </w:rPr>
  </w:style>
  <w:style w:type="paragraph" w:styleId="Title">
    <w:name w:val="Title"/>
    <w:basedOn w:val="Normal"/>
    <w:next w:val="Normal"/>
    <w:link w:val="TitleChar"/>
    <w:uiPriority w:val="10"/>
    <w:qFormat/>
    <w:rsid w:val="00861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5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5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5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5BA"/>
    <w:pPr>
      <w:spacing w:before="160"/>
      <w:jc w:val="center"/>
    </w:pPr>
    <w:rPr>
      <w:i/>
      <w:iCs/>
      <w:color w:val="404040" w:themeColor="text1" w:themeTint="BF"/>
    </w:rPr>
  </w:style>
  <w:style w:type="character" w:customStyle="1" w:styleId="QuoteChar">
    <w:name w:val="Quote Char"/>
    <w:basedOn w:val="DefaultParagraphFont"/>
    <w:link w:val="Quote"/>
    <w:uiPriority w:val="29"/>
    <w:rsid w:val="008615BA"/>
    <w:rPr>
      <w:i/>
      <w:iCs/>
      <w:color w:val="404040" w:themeColor="text1" w:themeTint="BF"/>
    </w:rPr>
  </w:style>
  <w:style w:type="paragraph" w:styleId="ListParagraph">
    <w:name w:val="List Paragraph"/>
    <w:basedOn w:val="Normal"/>
    <w:uiPriority w:val="34"/>
    <w:qFormat/>
    <w:rsid w:val="008615BA"/>
    <w:pPr>
      <w:ind w:left="720"/>
      <w:contextualSpacing/>
    </w:pPr>
  </w:style>
  <w:style w:type="character" w:styleId="IntenseEmphasis">
    <w:name w:val="Intense Emphasis"/>
    <w:basedOn w:val="DefaultParagraphFont"/>
    <w:uiPriority w:val="21"/>
    <w:qFormat/>
    <w:rsid w:val="008615BA"/>
    <w:rPr>
      <w:i/>
      <w:iCs/>
      <w:color w:val="2F5496" w:themeColor="accent1" w:themeShade="BF"/>
    </w:rPr>
  </w:style>
  <w:style w:type="paragraph" w:styleId="IntenseQuote">
    <w:name w:val="Intense Quote"/>
    <w:basedOn w:val="Normal"/>
    <w:next w:val="Normal"/>
    <w:link w:val="IntenseQuoteChar"/>
    <w:uiPriority w:val="30"/>
    <w:qFormat/>
    <w:rsid w:val="008615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15BA"/>
    <w:rPr>
      <w:i/>
      <w:iCs/>
      <w:color w:val="2F5496" w:themeColor="accent1" w:themeShade="BF"/>
    </w:rPr>
  </w:style>
  <w:style w:type="character" w:styleId="IntenseReference">
    <w:name w:val="Intense Reference"/>
    <w:basedOn w:val="DefaultParagraphFont"/>
    <w:uiPriority w:val="32"/>
    <w:qFormat/>
    <w:rsid w:val="008615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386</Words>
  <Characters>2205</Characters>
  <Application>Microsoft Office Word</Application>
  <DocSecurity>0</DocSecurity>
  <Lines>18</Lines>
  <Paragraphs>5</Paragraphs>
  <ScaleCrop>false</ScaleCrop>
  <Company/>
  <LinksUpToDate>false</LinksUpToDate>
  <CharactersWithSpaces>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Bhavin Patel</dc:creator>
  <cp:keywords/>
  <dc:description/>
  <cp:lastModifiedBy>Bhavin Patel</cp:lastModifiedBy>
  <cp:revision>1</cp:revision>
  <dcterms:created xsi:type="dcterms:W3CDTF">2026-07-09T04:48:00Z</dcterms:created>
  <dcterms:modified xsi:type="dcterms:W3CDTF">2026-07-09T04:52:00Z</dcterms:modified>
</cp:coreProperties>
</file>