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8184" w14:textId="77777777" w:rsidR="002A3481" w:rsidRPr="002A3481" w:rsidRDefault="002A3481" w:rsidP="002A3481">
      <w:pPr>
        <w:spacing w:line="240" w:lineRule="auto"/>
        <w:contextualSpacing/>
        <w:jc w:val="center"/>
        <w:rPr>
          <w:b/>
          <w:bCs/>
          <w:sz w:val="32"/>
          <w:szCs w:val="32"/>
        </w:rPr>
      </w:pPr>
      <w:r w:rsidRPr="002A3481">
        <w:rPr>
          <w:b/>
          <w:bCs/>
          <w:sz w:val="32"/>
          <w:szCs w:val="32"/>
        </w:rPr>
        <w:t>Polypharmacy Medication Safety Review</w:t>
      </w:r>
    </w:p>
    <w:p w14:paraId="6C6142B6" w14:textId="6738C640" w:rsidR="002A3481" w:rsidRDefault="002A3481" w:rsidP="002A3481">
      <w:pPr>
        <w:spacing w:line="240" w:lineRule="auto"/>
        <w:contextualSpacing/>
        <w:jc w:val="center"/>
      </w:pPr>
      <w:r>
        <w:t>Assessment date: 07/08/2026</w:t>
      </w:r>
    </w:p>
    <w:p w14:paraId="785130EF" w14:textId="77777777" w:rsidR="002A3481" w:rsidRDefault="002A3481" w:rsidP="002A3481">
      <w:pPr>
        <w:spacing w:line="240" w:lineRule="auto"/>
        <w:contextualSpacing/>
      </w:pPr>
    </w:p>
    <w:p w14:paraId="2A8E469D" w14:textId="77777777" w:rsidR="002A3481" w:rsidRPr="002A3481" w:rsidRDefault="002A3481" w:rsidP="002A3481">
      <w:pPr>
        <w:spacing w:line="240" w:lineRule="auto"/>
        <w:rPr>
          <w:b/>
          <w:bCs/>
          <w:sz w:val="28"/>
          <w:szCs w:val="28"/>
        </w:rPr>
      </w:pPr>
      <w:r w:rsidRPr="002A3481">
        <w:rPr>
          <w:b/>
          <w:bCs/>
          <w:sz w:val="28"/>
          <w:szCs w:val="28"/>
        </w:rPr>
        <w:t>1. Executive Summary</w:t>
      </w:r>
    </w:p>
    <w:p w14:paraId="535DE58D" w14:textId="77777777" w:rsidR="002A3481" w:rsidRDefault="002A3481" w:rsidP="002A3481">
      <w:pPr>
        <w:spacing w:line="240" w:lineRule="auto"/>
        <w:contextualSpacing/>
      </w:pPr>
      <w:r w:rsidRPr="002A3481">
        <w:rPr>
          <w:b/>
          <w:bCs/>
        </w:rPr>
        <w:t>Scope.</w:t>
      </w:r>
      <w:r>
        <w:t xml:space="preserve"> Review of 25 medically complex adults using the medication registry, AGS 2023 Beers Criteria, and ambulatory medication-management policy.</w:t>
      </w:r>
    </w:p>
    <w:p w14:paraId="701E9C65" w14:textId="7139D99A" w:rsidR="002A3481" w:rsidRDefault="002A3481" w:rsidP="008F7093">
      <w:pPr>
        <w:spacing w:before="240" w:line="240" w:lineRule="auto"/>
      </w:pPr>
      <w:r w:rsidRPr="002A3481">
        <w:rPr>
          <w:b/>
          <w:bCs/>
        </w:rPr>
        <w:t>Main concerns.</w:t>
      </w:r>
      <w:r>
        <w:t xml:space="preserve"> Renal dosing, unresolved reconciliation, falls and sedation, anticoagulation, allergy or intolerance conflicts, and missing drug-level or laboratory follow-up.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1"/>
        <w:gridCol w:w="1618"/>
        <w:gridCol w:w="1618"/>
        <w:gridCol w:w="1523"/>
        <w:gridCol w:w="1523"/>
        <w:gridCol w:w="1527"/>
      </w:tblGrid>
      <w:tr w:rsidR="002A3481" w14:paraId="00D208F8" w14:textId="77777777" w:rsidTr="008F7093">
        <w:tc>
          <w:tcPr>
            <w:tcW w:w="1553" w:type="dxa"/>
            <w:shd w:val="clear" w:color="auto" w:fill="E7E6E6" w:themeFill="background2"/>
          </w:tcPr>
          <w:p w14:paraId="5064F0BF" w14:textId="4631A6F4" w:rsidR="002A3481" w:rsidRPr="008F7093" w:rsidRDefault="002A3481" w:rsidP="002A3481">
            <w:pPr>
              <w:contextualSpacing/>
              <w:rPr>
                <w:b/>
                <w:bCs/>
              </w:rPr>
            </w:pPr>
            <w:r w:rsidRPr="008F7093">
              <w:rPr>
                <w:b/>
                <w:bCs/>
              </w:rPr>
              <w:t>Patients reviewed</w:t>
            </w:r>
          </w:p>
        </w:tc>
        <w:tc>
          <w:tcPr>
            <w:tcW w:w="1580" w:type="dxa"/>
            <w:shd w:val="clear" w:color="auto" w:fill="E7E6E6" w:themeFill="background2"/>
          </w:tcPr>
          <w:p w14:paraId="4B74AE9F" w14:textId="71C807CD" w:rsidR="002A3481" w:rsidRPr="008F7093" w:rsidRDefault="002A3481" w:rsidP="002A3481">
            <w:pPr>
              <w:contextualSpacing/>
              <w:rPr>
                <w:b/>
                <w:bCs/>
              </w:rPr>
            </w:pPr>
            <w:r w:rsidRPr="008F7093">
              <w:rPr>
                <w:b/>
                <w:bCs/>
              </w:rPr>
              <w:t>Reconciliation complete</w:t>
            </w:r>
          </w:p>
        </w:tc>
        <w:tc>
          <w:tcPr>
            <w:tcW w:w="1580" w:type="dxa"/>
            <w:shd w:val="clear" w:color="auto" w:fill="E7E6E6" w:themeFill="background2"/>
          </w:tcPr>
          <w:p w14:paraId="565BDE6E" w14:textId="2F35C7C6" w:rsidR="002A3481" w:rsidRPr="008F7093" w:rsidRDefault="002A3481" w:rsidP="002A3481">
            <w:pPr>
              <w:contextualSpacing/>
              <w:rPr>
                <w:b/>
                <w:bCs/>
              </w:rPr>
            </w:pPr>
            <w:r w:rsidRPr="008F7093">
              <w:rPr>
                <w:b/>
                <w:bCs/>
              </w:rPr>
              <w:t>Reconciliation gap</w:t>
            </w:r>
          </w:p>
        </w:tc>
        <w:tc>
          <w:tcPr>
            <w:tcW w:w="1545" w:type="dxa"/>
            <w:shd w:val="clear" w:color="auto" w:fill="E7E6E6" w:themeFill="background2"/>
          </w:tcPr>
          <w:p w14:paraId="1D71058B" w14:textId="3D3DCB00" w:rsidR="002A3481" w:rsidRPr="008F7093" w:rsidRDefault="002A3481" w:rsidP="002A3481">
            <w:pPr>
              <w:contextualSpacing/>
              <w:rPr>
                <w:b/>
                <w:bCs/>
              </w:rPr>
            </w:pPr>
            <w:r w:rsidRPr="008F7093">
              <w:rPr>
                <w:b/>
                <w:bCs/>
              </w:rPr>
              <w:t>eGFR &lt;45</w:t>
            </w:r>
          </w:p>
        </w:tc>
        <w:tc>
          <w:tcPr>
            <w:tcW w:w="1546" w:type="dxa"/>
            <w:shd w:val="clear" w:color="auto" w:fill="E7E6E6" w:themeFill="background2"/>
          </w:tcPr>
          <w:p w14:paraId="13EE6856" w14:textId="06A19133" w:rsidR="002A3481" w:rsidRPr="008F7093" w:rsidRDefault="002A3481" w:rsidP="002A3481">
            <w:pPr>
              <w:contextualSpacing/>
              <w:rPr>
                <w:b/>
                <w:bCs/>
              </w:rPr>
            </w:pPr>
            <w:r w:rsidRPr="008F7093">
              <w:rPr>
                <w:b/>
                <w:bCs/>
              </w:rPr>
              <w:t>eGFR &lt;30</w:t>
            </w:r>
          </w:p>
        </w:tc>
        <w:tc>
          <w:tcPr>
            <w:tcW w:w="1546" w:type="dxa"/>
            <w:shd w:val="clear" w:color="auto" w:fill="E7E6E6" w:themeFill="background2"/>
          </w:tcPr>
          <w:p w14:paraId="3C255F9E" w14:textId="7F4C0EF7" w:rsidR="002A3481" w:rsidRPr="008F7093" w:rsidRDefault="002A3481" w:rsidP="002A3481">
            <w:pPr>
              <w:contextualSpacing/>
              <w:rPr>
                <w:b/>
                <w:bCs/>
              </w:rPr>
            </w:pPr>
            <w:r w:rsidRPr="008F7093">
              <w:rPr>
                <w:b/>
                <w:bCs/>
              </w:rPr>
              <w:t>Recent falls</w:t>
            </w:r>
          </w:p>
        </w:tc>
      </w:tr>
      <w:tr w:rsidR="002A3481" w14:paraId="1D3ECEAB" w14:textId="77777777" w:rsidTr="002A3481">
        <w:tc>
          <w:tcPr>
            <w:tcW w:w="1553" w:type="dxa"/>
          </w:tcPr>
          <w:p w14:paraId="14AEBA09" w14:textId="23E717D6" w:rsidR="002A3481" w:rsidRDefault="002A3481" w:rsidP="002A3481">
            <w:pPr>
              <w:contextualSpacing/>
            </w:pPr>
            <w:r w:rsidRPr="00EC2658">
              <w:t>25</w:t>
            </w:r>
          </w:p>
        </w:tc>
        <w:tc>
          <w:tcPr>
            <w:tcW w:w="1580" w:type="dxa"/>
          </w:tcPr>
          <w:p w14:paraId="0E2397A2" w14:textId="738A3B30" w:rsidR="002A3481" w:rsidRDefault="002A3481" w:rsidP="002A3481">
            <w:pPr>
              <w:contextualSpacing/>
            </w:pPr>
            <w:r w:rsidRPr="00EC2658">
              <w:t>8/25 (32%)</w:t>
            </w:r>
          </w:p>
        </w:tc>
        <w:tc>
          <w:tcPr>
            <w:tcW w:w="1580" w:type="dxa"/>
          </w:tcPr>
          <w:p w14:paraId="067CCEDA" w14:textId="190DA776" w:rsidR="002A3481" w:rsidRDefault="002A3481" w:rsidP="002A3481">
            <w:pPr>
              <w:contextualSpacing/>
            </w:pPr>
            <w:r w:rsidRPr="00EC2658">
              <w:t>17/25 (68%)</w:t>
            </w:r>
          </w:p>
        </w:tc>
        <w:tc>
          <w:tcPr>
            <w:tcW w:w="1545" w:type="dxa"/>
          </w:tcPr>
          <w:p w14:paraId="7D18245F" w14:textId="3BDE19A2" w:rsidR="002A3481" w:rsidRDefault="002A3481" w:rsidP="002A3481">
            <w:pPr>
              <w:contextualSpacing/>
            </w:pPr>
            <w:r w:rsidRPr="00EC2658">
              <w:t>10/25 (40%)</w:t>
            </w:r>
          </w:p>
        </w:tc>
        <w:tc>
          <w:tcPr>
            <w:tcW w:w="1546" w:type="dxa"/>
          </w:tcPr>
          <w:p w14:paraId="22384849" w14:textId="528A256E" w:rsidR="002A3481" w:rsidRDefault="002A3481" w:rsidP="002A3481">
            <w:pPr>
              <w:contextualSpacing/>
            </w:pPr>
            <w:r w:rsidRPr="00EC2658">
              <w:t>4/25 (16%)</w:t>
            </w:r>
          </w:p>
        </w:tc>
        <w:tc>
          <w:tcPr>
            <w:tcW w:w="1546" w:type="dxa"/>
          </w:tcPr>
          <w:p w14:paraId="6439ECD0" w14:textId="18CAD50A" w:rsidR="002A3481" w:rsidRDefault="002A3481" w:rsidP="002A3481">
            <w:pPr>
              <w:contextualSpacing/>
            </w:pPr>
            <w:r w:rsidRPr="00EC2658">
              <w:t>19/25 (76%)</w:t>
            </w:r>
          </w:p>
        </w:tc>
      </w:tr>
    </w:tbl>
    <w:p w14:paraId="0EDB3FB9" w14:textId="77777777" w:rsidR="003231F1" w:rsidRDefault="003231F1" w:rsidP="002A3481">
      <w:pPr>
        <w:spacing w:line="240" w:lineRule="auto"/>
        <w:rPr>
          <w:b/>
          <w:bCs/>
          <w:sz w:val="28"/>
          <w:szCs w:val="28"/>
        </w:rPr>
      </w:pPr>
    </w:p>
    <w:p w14:paraId="2CEF185E" w14:textId="0FB0DB57" w:rsidR="002A3481" w:rsidRPr="002A3481" w:rsidRDefault="002A3481" w:rsidP="002A348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2A3481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="00404231">
        <w:rPr>
          <w:b/>
          <w:bCs/>
          <w:sz w:val="28"/>
          <w:szCs w:val="28"/>
        </w:rPr>
        <w:t>Priority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3870"/>
        <w:gridCol w:w="4495"/>
      </w:tblGrid>
      <w:tr w:rsidR="002A3481" w14:paraId="3BD1CE0F" w14:textId="77777777" w:rsidTr="008F7093">
        <w:tc>
          <w:tcPr>
            <w:tcW w:w="985" w:type="dxa"/>
            <w:shd w:val="clear" w:color="auto" w:fill="E7E6E6" w:themeFill="background2"/>
          </w:tcPr>
          <w:p w14:paraId="3BDC395D" w14:textId="1C2DABC4" w:rsidR="002A3481" w:rsidRPr="008F7093" w:rsidRDefault="002A3481" w:rsidP="002A3481">
            <w:pPr>
              <w:contextualSpacing/>
              <w:rPr>
                <w:b/>
                <w:bCs/>
              </w:rPr>
            </w:pPr>
            <w:r w:rsidRPr="008F7093">
              <w:rPr>
                <w:b/>
                <w:bCs/>
              </w:rPr>
              <w:t>Patient</w:t>
            </w:r>
          </w:p>
        </w:tc>
        <w:tc>
          <w:tcPr>
            <w:tcW w:w="3870" w:type="dxa"/>
            <w:shd w:val="clear" w:color="auto" w:fill="E7E6E6" w:themeFill="background2"/>
          </w:tcPr>
          <w:p w14:paraId="0A917556" w14:textId="1F232F35" w:rsidR="002A3481" w:rsidRPr="008F7093" w:rsidRDefault="002A3481" w:rsidP="002A3481">
            <w:pPr>
              <w:contextualSpacing/>
              <w:rPr>
                <w:b/>
                <w:bCs/>
              </w:rPr>
            </w:pPr>
            <w:r w:rsidRPr="008F7093">
              <w:rPr>
                <w:b/>
                <w:bCs/>
              </w:rPr>
              <w:t>Finding</w:t>
            </w:r>
          </w:p>
        </w:tc>
        <w:tc>
          <w:tcPr>
            <w:tcW w:w="4495" w:type="dxa"/>
            <w:shd w:val="clear" w:color="auto" w:fill="E7E6E6" w:themeFill="background2"/>
          </w:tcPr>
          <w:p w14:paraId="094F21D6" w14:textId="2BE65B10" w:rsidR="002A3481" w:rsidRPr="008F7093" w:rsidRDefault="002A3481" w:rsidP="002A3481">
            <w:pPr>
              <w:contextualSpacing/>
              <w:rPr>
                <w:b/>
                <w:bCs/>
              </w:rPr>
            </w:pPr>
            <w:r w:rsidRPr="008F7093">
              <w:rPr>
                <w:b/>
                <w:bCs/>
              </w:rPr>
              <w:t>Action</w:t>
            </w:r>
          </w:p>
        </w:tc>
      </w:tr>
      <w:tr w:rsidR="002A3481" w14:paraId="16003297" w14:textId="77777777" w:rsidTr="008F7093">
        <w:tc>
          <w:tcPr>
            <w:tcW w:w="985" w:type="dxa"/>
          </w:tcPr>
          <w:p w14:paraId="7ADADB94" w14:textId="23D6D627" w:rsidR="002A3481" w:rsidRDefault="002A3481" w:rsidP="002A3481">
            <w:pPr>
              <w:contextualSpacing/>
            </w:pPr>
            <w:r w:rsidRPr="001B53BF">
              <w:t>P017</w:t>
            </w:r>
          </w:p>
        </w:tc>
        <w:tc>
          <w:tcPr>
            <w:tcW w:w="3870" w:type="dxa"/>
          </w:tcPr>
          <w:p w14:paraId="3926BD91" w14:textId="03E25E1A" w:rsidR="002A3481" w:rsidRDefault="002A3481" w:rsidP="002A3481">
            <w:pPr>
              <w:contextualSpacing/>
            </w:pPr>
            <w:r w:rsidRPr="001B53BF">
              <w:t>INR 4.1 with warfarin, aspirin, celecoxib; recent fall. Celecoxib also adds renal risk at eGFR 36.</w:t>
            </w:r>
          </w:p>
        </w:tc>
        <w:tc>
          <w:tcPr>
            <w:tcW w:w="4495" w:type="dxa"/>
          </w:tcPr>
          <w:p w14:paraId="1E4346CF" w14:textId="3F402EE2" w:rsidR="002A3481" w:rsidRDefault="002A3481" w:rsidP="002A3481">
            <w:pPr>
              <w:contextualSpacing/>
            </w:pPr>
            <w:r w:rsidRPr="00296690">
              <w:t>Same-day anticoagulation review; repeat INR; stop nonessential aspirin/celecoxib; use non-NSAID pain plan.</w:t>
            </w:r>
          </w:p>
        </w:tc>
      </w:tr>
      <w:tr w:rsidR="002A3481" w14:paraId="280940AF" w14:textId="77777777" w:rsidTr="008F7093">
        <w:tc>
          <w:tcPr>
            <w:tcW w:w="985" w:type="dxa"/>
          </w:tcPr>
          <w:p w14:paraId="20A197F5" w14:textId="1E40CD4F" w:rsidR="002A3481" w:rsidRDefault="002A3481" w:rsidP="002A3481">
            <w:pPr>
              <w:contextualSpacing/>
            </w:pPr>
            <w:r w:rsidRPr="001B53BF">
              <w:t>P002</w:t>
            </w:r>
          </w:p>
        </w:tc>
        <w:tc>
          <w:tcPr>
            <w:tcW w:w="3870" w:type="dxa"/>
          </w:tcPr>
          <w:p w14:paraId="724F6852" w14:textId="37111C94" w:rsidR="002A3481" w:rsidRDefault="002A3481" w:rsidP="002A3481">
            <w:pPr>
              <w:contextualSpacing/>
            </w:pPr>
            <w:r w:rsidRPr="001B53BF">
              <w:t>Metformin 1000 mg BID at eGFR 24; old glyburide still used after hypoglycemia admission.</w:t>
            </w:r>
          </w:p>
        </w:tc>
        <w:tc>
          <w:tcPr>
            <w:tcW w:w="4495" w:type="dxa"/>
          </w:tcPr>
          <w:p w14:paraId="6B61F537" w14:textId="15DF9852" w:rsidR="002A3481" w:rsidRDefault="002A3481" w:rsidP="002A3481">
            <w:pPr>
              <w:contextualSpacing/>
            </w:pPr>
            <w:r w:rsidRPr="00296690">
              <w:t xml:space="preserve">Stop metformin or document a renal-safe alternative; stop glyburide; reconcile discharge list. Primary care </w:t>
            </w:r>
            <w:r w:rsidR="00B829A2">
              <w:t>will coordinate follow-up</w:t>
            </w:r>
            <w:r w:rsidRPr="00296690">
              <w:t xml:space="preserve"> with pharmacy and nephrology</w:t>
            </w:r>
            <w:r w:rsidR="00B829A2">
              <w:t xml:space="preserve"> or </w:t>
            </w:r>
            <w:r w:rsidRPr="00296690">
              <w:t>endocrinology.</w:t>
            </w:r>
          </w:p>
        </w:tc>
      </w:tr>
      <w:tr w:rsidR="002A3481" w14:paraId="7589F0A6" w14:textId="77777777" w:rsidTr="008F7093">
        <w:tc>
          <w:tcPr>
            <w:tcW w:w="985" w:type="dxa"/>
          </w:tcPr>
          <w:p w14:paraId="06033D3D" w14:textId="26821B2E" w:rsidR="002A3481" w:rsidRDefault="002A3481" w:rsidP="002A3481">
            <w:pPr>
              <w:contextualSpacing/>
            </w:pPr>
            <w:r w:rsidRPr="001B53BF">
              <w:t>P011</w:t>
            </w:r>
          </w:p>
        </w:tc>
        <w:tc>
          <w:tcPr>
            <w:tcW w:w="3870" w:type="dxa"/>
          </w:tcPr>
          <w:p w14:paraId="45510176" w14:textId="68597D23" w:rsidR="002A3481" w:rsidRDefault="002A3481" w:rsidP="002A3481">
            <w:pPr>
              <w:contextualSpacing/>
            </w:pPr>
            <w:r w:rsidRPr="001B53BF">
              <w:t>Rivaroxaban 20 mg at eGFR 27; digoxin 0.25 mg with amiodarone 200 mg in CKD stage 4.</w:t>
            </w:r>
          </w:p>
        </w:tc>
        <w:tc>
          <w:tcPr>
            <w:tcW w:w="4495" w:type="dxa"/>
          </w:tcPr>
          <w:p w14:paraId="4FB1DD77" w14:textId="465D375B" w:rsidR="002A3481" w:rsidRDefault="002A3481" w:rsidP="002A3481">
            <w:pPr>
              <w:contextualSpacing/>
            </w:pPr>
            <w:r w:rsidRPr="00296690">
              <w:t>Renal-dose/agent review; assess digoxin need and dose; obtain level when indicated. Amiodarone can raise digoxin exposure and toxicity.</w:t>
            </w:r>
          </w:p>
        </w:tc>
      </w:tr>
      <w:tr w:rsidR="002A3481" w14:paraId="321A33C1" w14:textId="77777777" w:rsidTr="008F7093">
        <w:tc>
          <w:tcPr>
            <w:tcW w:w="985" w:type="dxa"/>
          </w:tcPr>
          <w:p w14:paraId="47E20904" w14:textId="4C22A837" w:rsidR="002A3481" w:rsidRDefault="002A3481" w:rsidP="002A3481">
            <w:pPr>
              <w:contextualSpacing/>
            </w:pPr>
            <w:r w:rsidRPr="001B53BF">
              <w:t>P008</w:t>
            </w:r>
          </w:p>
        </w:tc>
        <w:tc>
          <w:tcPr>
            <w:tcW w:w="3870" w:type="dxa"/>
          </w:tcPr>
          <w:p w14:paraId="4580A9E8" w14:textId="689C3386" w:rsidR="002A3481" w:rsidRDefault="002A3481" w:rsidP="002A3481">
            <w:pPr>
              <w:contextualSpacing/>
            </w:pPr>
            <w:r w:rsidRPr="001B53BF">
              <w:t>BP 96/58 with lightheadedness while taking propranolol, quetiapine, hydroxyzine, and topiramate.</w:t>
            </w:r>
          </w:p>
        </w:tc>
        <w:tc>
          <w:tcPr>
            <w:tcW w:w="4495" w:type="dxa"/>
          </w:tcPr>
          <w:p w14:paraId="7402FFBF" w14:textId="012166E5" w:rsidR="002A3481" w:rsidRDefault="002A3481" w:rsidP="002A3481">
            <w:pPr>
              <w:contextualSpacing/>
            </w:pPr>
            <w:r w:rsidRPr="00296690">
              <w:t xml:space="preserve">Reconcile PCP and psychiatry lists; check </w:t>
            </w:r>
            <w:proofErr w:type="spellStart"/>
            <w:r w:rsidRPr="00296690">
              <w:t>orthostatics</w:t>
            </w:r>
            <w:proofErr w:type="spellEnd"/>
            <w:r w:rsidRPr="00296690">
              <w:t>; reduce hypotensive or sedating burden.</w:t>
            </w:r>
          </w:p>
        </w:tc>
      </w:tr>
      <w:tr w:rsidR="002A3481" w14:paraId="41D52A1E" w14:textId="77777777" w:rsidTr="008F7093">
        <w:tc>
          <w:tcPr>
            <w:tcW w:w="985" w:type="dxa"/>
          </w:tcPr>
          <w:p w14:paraId="32404636" w14:textId="4B718AF3" w:rsidR="002A3481" w:rsidRDefault="002A3481" w:rsidP="002A3481">
            <w:pPr>
              <w:contextualSpacing/>
            </w:pPr>
            <w:r w:rsidRPr="001B53BF">
              <w:t>P012</w:t>
            </w:r>
          </w:p>
        </w:tc>
        <w:tc>
          <w:tcPr>
            <w:tcW w:w="3870" w:type="dxa"/>
          </w:tcPr>
          <w:p w14:paraId="66D249F3" w14:textId="5DEC5C00" w:rsidR="002A3481" w:rsidRDefault="002A3481" w:rsidP="002A3481">
            <w:pPr>
              <w:contextualSpacing/>
            </w:pPr>
            <w:r w:rsidRPr="001B53BF">
              <w:t>Expired controlled-medication agreement; diazepam and hydrocodone remain active; promethazine adds sedation and anticholinergic burden.</w:t>
            </w:r>
          </w:p>
        </w:tc>
        <w:tc>
          <w:tcPr>
            <w:tcW w:w="4495" w:type="dxa"/>
          </w:tcPr>
          <w:p w14:paraId="2C6BE24B" w14:textId="79750195" w:rsidR="002A3481" w:rsidRDefault="002A3481" w:rsidP="002A3481">
            <w:pPr>
              <w:contextualSpacing/>
            </w:pPr>
            <w:r w:rsidRPr="00296690">
              <w:t>Renew or close agreement; consolidate prescribers; document PDMP/monitoring; taper or stop at least one sedating medicine.</w:t>
            </w:r>
          </w:p>
        </w:tc>
      </w:tr>
      <w:tr w:rsidR="002A3481" w14:paraId="63395452" w14:textId="77777777" w:rsidTr="008F7093">
        <w:tc>
          <w:tcPr>
            <w:tcW w:w="985" w:type="dxa"/>
          </w:tcPr>
          <w:p w14:paraId="73825678" w14:textId="4F925007" w:rsidR="002A3481" w:rsidRDefault="002A3481" w:rsidP="002A3481">
            <w:pPr>
              <w:contextualSpacing/>
            </w:pPr>
            <w:r w:rsidRPr="001B53BF">
              <w:t>P020</w:t>
            </w:r>
          </w:p>
        </w:tc>
        <w:tc>
          <w:tcPr>
            <w:tcW w:w="3870" w:type="dxa"/>
          </w:tcPr>
          <w:p w14:paraId="6A3C263D" w14:textId="3B150931" w:rsidR="002A3481" w:rsidRDefault="002A3481" w:rsidP="002A3481">
            <w:pPr>
              <w:contextualSpacing/>
            </w:pPr>
            <w:r w:rsidRPr="001B53BF">
              <w:t>Dementia, recurrent falls, urinary retention, daytime sleepiness with doxepin 25 mg and paroxetine 20 mg; facility MAR mismatch.</w:t>
            </w:r>
          </w:p>
        </w:tc>
        <w:tc>
          <w:tcPr>
            <w:tcW w:w="4495" w:type="dxa"/>
          </w:tcPr>
          <w:p w14:paraId="2093DAB0" w14:textId="18CA9948" w:rsidR="002A3481" w:rsidRDefault="002A3481" w:rsidP="002A3481">
            <w:pPr>
              <w:contextualSpacing/>
            </w:pPr>
            <w:r w:rsidRPr="00296690">
              <w:t>Reconcile MAR, clinic list, and fills; deprescribe one or both strong anticholinergic antidepressants.</w:t>
            </w:r>
          </w:p>
        </w:tc>
      </w:tr>
      <w:tr>
        <w:tc>
          <w:tcPr>
            <w:tcW w:type="dxa" w:w="985"/>
          </w:tcPr>
          <w:p>
            <w:r>
              <w:t>P004</w:t>
            </w:r>
          </w:p>
        </w:tc>
        <w:tc>
          <w:tcPr>
            <w:tcW w:type="dxa" w:w="3870"/>
          </w:tcPr>
          <w:p>
            <w:r>
              <w:t>Concurrent clonazepam 1 mg BID, oxycodone-acetaminophen 5/325 mg Q6H PRN, and cyclobenzaprine 10 mg TID PRN in COPD and obstructive sleep apnea; 3 falls and a near fall after evening doses; patient takes the benzodiazepine and opioid together at bedtime</w:t>
            </w:r>
          </w:p>
        </w:tc>
        <w:tc>
          <w:tcPr>
            <w:tcW w:type="dxa" w:w="4495"/>
          </w:tcPr>
          <w:p>
            <w:r>
              <w:t>Reduce or stagger the CNS depressant combination; assess respiratory risk given COPD/OSA; taper plan with pain and sleep review within 72 hours</w:t>
            </w:r>
          </w:p>
        </w:tc>
      </w:tr>
      <w:tr>
        <w:tc>
          <w:tcPr>
            <w:tcW w:type="dxa" w:w="985"/>
          </w:tcPr>
          <w:p>
            <w:r>
              <w:t>P009</w:t>
            </w:r>
          </w:p>
        </w:tc>
        <w:tc>
          <w:tcPr>
            <w:tcW w:type="dxa" w:w="3870"/>
          </w:tcPr>
          <w:p>
            <w:r>
              <w:t>Diphenhydramine 50 mg nightly in Parkinson disease with orthostatic hypotension and a syncope evaluation; strongly anticholinergic and inappropriate in this setting</w:t>
            </w:r>
          </w:p>
        </w:tc>
        <w:tc>
          <w:tcPr>
            <w:tcW w:type="dxa" w:w="4495"/>
          </w:tcPr>
          <w:p>
            <w:r>
              <w:t>Stop diphenhydramine and substitute a safer sleep approach; recheck orthostatic vitals within 72 hours</w:t>
            </w:r>
          </w:p>
        </w:tc>
      </w:tr>
      <w:tr>
        <w:tc>
          <w:tcPr>
            <w:tcW w:type="dxa" w:w="985"/>
          </w:tcPr>
          <w:p>
            <w:r>
              <w:t>P015</w:t>
            </w:r>
          </w:p>
        </w:tc>
        <w:tc>
          <w:tcPr>
            <w:tcW w:type="dxa" w:w="3870"/>
          </w:tcPr>
          <w:p>
            <w:r>
              <w:t>Glipizide 10 mg BID plus insulin glargine 20 units nightly in dementia with caregiver-reported low morning glucose readings, 3 falls, and CKD stage 3a</w:t>
            </w:r>
          </w:p>
        </w:tc>
        <w:tc>
          <w:tcPr>
            <w:tcW w:type="dxa" w:w="4495"/>
          </w:tcPr>
          <w:p>
            <w:r>
              <w:t>Simplify the diabetes regimen; stop or reduce glipizide; review glucose logs with the caregiver within 72 hours</w:t>
            </w:r>
          </w:p>
        </w:tc>
      </w:tr>
    </w:tbl>
    <w:p w14:paraId="49B65634" w14:textId="6A4984AE" w:rsidR="008F7093" w:rsidRDefault="008F7093" w:rsidP="002A3481">
      <w:pPr>
        <w:spacing w:line="240" w:lineRule="auto"/>
        <w:contextualSpacing/>
      </w:pPr>
    </w:p>
    <w:p w14:paraId="21740518" w14:textId="77777777" w:rsidR="008F7093" w:rsidRDefault="008F7093">
      <w:r>
        <w:br w:type="page"/>
      </w:r>
    </w:p>
    <w:p w14:paraId="27E0BFAE" w14:textId="2AEDC439" w:rsidR="00630E18" w:rsidRDefault="00630E18" w:rsidP="00630E18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Pr="002A3481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="00404231">
        <w:rPr>
          <w:b/>
          <w:bCs/>
          <w:sz w:val="28"/>
          <w:szCs w:val="28"/>
        </w:rPr>
        <w:t>Other Safety Concerns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3870"/>
        <w:gridCol w:w="4495"/>
      </w:tblGrid>
      <w:tr w:rsidR="00630E18" w14:paraId="1A125CE1" w14:textId="77777777" w:rsidTr="008F7093">
        <w:tc>
          <w:tcPr>
            <w:tcW w:w="985" w:type="dxa"/>
            <w:shd w:val="clear" w:color="auto" w:fill="E7E6E6" w:themeFill="background2"/>
          </w:tcPr>
          <w:p w14:paraId="4E5278F0" w14:textId="59C621B0" w:rsidR="00630E18" w:rsidRPr="008F7093" w:rsidRDefault="00630E18" w:rsidP="00630E18">
            <w:pPr>
              <w:rPr>
                <w:b/>
                <w:bCs/>
              </w:rPr>
            </w:pPr>
            <w:r w:rsidRPr="008F7093">
              <w:rPr>
                <w:b/>
                <w:bCs/>
              </w:rPr>
              <w:t>Patient</w:t>
            </w:r>
          </w:p>
        </w:tc>
        <w:tc>
          <w:tcPr>
            <w:tcW w:w="3870" w:type="dxa"/>
            <w:shd w:val="clear" w:color="auto" w:fill="E7E6E6" w:themeFill="background2"/>
          </w:tcPr>
          <w:p w14:paraId="4CF67504" w14:textId="2107507B" w:rsidR="00630E18" w:rsidRPr="008F7093" w:rsidRDefault="00630E18" w:rsidP="00630E18">
            <w:pPr>
              <w:rPr>
                <w:b/>
                <w:bCs/>
              </w:rPr>
            </w:pPr>
            <w:r w:rsidRPr="008F7093">
              <w:rPr>
                <w:b/>
                <w:bCs/>
              </w:rPr>
              <w:t>Finding</w:t>
            </w:r>
          </w:p>
        </w:tc>
        <w:tc>
          <w:tcPr>
            <w:tcW w:w="4495" w:type="dxa"/>
            <w:shd w:val="clear" w:color="auto" w:fill="E7E6E6" w:themeFill="background2"/>
          </w:tcPr>
          <w:p w14:paraId="25F3EE86" w14:textId="30A7359B" w:rsidR="00630E18" w:rsidRPr="008F7093" w:rsidRDefault="00630E18" w:rsidP="00630E18">
            <w:pPr>
              <w:rPr>
                <w:b/>
                <w:bCs/>
              </w:rPr>
            </w:pPr>
            <w:r w:rsidRPr="008F7093">
              <w:rPr>
                <w:b/>
                <w:bCs/>
              </w:rPr>
              <w:t>Action</w:t>
            </w:r>
          </w:p>
        </w:tc>
      </w:tr>
      <w:tr w:rsidR="00630E18" w14:paraId="76D412A4" w14:textId="77777777" w:rsidTr="008F7093">
        <w:tc>
          <w:tcPr>
            <w:tcW w:w="985" w:type="dxa"/>
          </w:tcPr>
          <w:p w14:paraId="4D81E12E" w14:textId="19C05A9F" w:rsidR="00630E18" w:rsidRDefault="00630E18" w:rsidP="00630E18">
            <w:r w:rsidRPr="004E1836">
              <w:t>P022</w:t>
            </w:r>
          </w:p>
        </w:tc>
        <w:tc>
          <w:tcPr>
            <w:tcW w:w="3870" w:type="dxa"/>
          </w:tcPr>
          <w:p w14:paraId="0AA87975" w14:textId="03613B0A" w:rsidR="00630E18" w:rsidRDefault="00630E18" w:rsidP="00630E18">
            <w:r w:rsidRPr="004E1836">
              <w:t>Theophylline 300 mg BID continued after pneumonia admission without a level or monitoring plan.</w:t>
            </w:r>
          </w:p>
        </w:tc>
        <w:tc>
          <w:tcPr>
            <w:tcW w:w="4495" w:type="dxa"/>
          </w:tcPr>
          <w:p w14:paraId="7C482583" w14:textId="4422A7BA" w:rsidR="00630E18" w:rsidRDefault="00630E18" w:rsidP="00630E18">
            <w:r w:rsidRPr="004E1836">
              <w:t>Confirm need before refill; reconcile pulmonary discharge plan; obtain a serum level if continued.</w:t>
            </w:r>
          </w:p>
        </w:tc>
      </w:tr>
      <w:tr w:rsidR="00630E18" w14:paraId="22385EC9" w14:textId="77777777" w:rsidTr="008F7093">
        <w:tc>
          <w:tcPr>
            <w:tcW w:w="985" w:type="dxa"/>
          </w:tcPr>
          <w:p w14:paraId="40DC07C0" w14:textId="00897426" w:rsidR="00630E18" w:rsidRDefault="00630E18" w:rsidP="00630E18">
            <w:r w:rsidRPr="004E1836">
              <w:t>P025</w:t>
            </w:r>
          </w:p>
        </w:tc>
        <w:tc>
          <w:tcPr>
            <w:tcW w:w="3870" w:type="dxa"/>
          </w:tcPr>
          <w:p w14:paraId="5422396D" w14:textId="343986A9" w:rsidR="00630E18" w:rsidRDefault="00630E18" w:rsidP="00630E18">
            <w:r w:rsidRPr="004E1836">
              <w:t>Self-start ciprofloxacin 500 mg BID from home supply without clinician review.</w:t>
            </w:r>
          </w:p>
        </w:tc>
        <w:tc>
          <w:tcPr>
            <w:tcW w:w="4495" w:type="dxa"/>
          </w:tcPr>
          <w:p w14:paraId="4001DAEC" w14:textId="1DEFC55C" w:rsidR="00630E18" w:rsidRDefault="00630E18" w:rsidP="00630E18">
            <w:r w:rsidRPr="004E1836">
              <w:t>Stop unsupervised self-start use; require nurse triage/clinician review or a written UTI protocol with culture and escalation rules.</w:t>
            </w:r>
          </w:p>
        </w:tc>
      </w:tr>
      <w:tr w:rsidR="00630E18" w14:paraId="0BF6EC2A" w14:textId="77777777" w:rsidTr="008F7093">
        <w:tc>
          <w:tcPr>
            <w:tcW w:w="985" w:type="dxa"/>
          </w:tcPr>
          <w:p w14:paraId="50ACD1F3" w14:textId="12730FBD" w:rsidR="00630E18" w:rsidRDefault="00630E18" w:rsidP="00630E18">
            <w:r w:rsidRPr="004E1836">
              <w:t>P006</w:t>
            </w:r>
          </w:p>
        </w:tc>
        <w:tc>
          <w:tcPr>
            <w:tcW w:w="3870" w:type="dxa"/>
          </w:tcPr>
          <w:p w14:paraId="10FF2F3F" w14:textId="632F6F0E" w:rsidR="00630E18" w:rsidRDefault="00630E18" w:rsidP="00630E18">
            <w:r w:rsidRPr="004E1836">
              <w:t>Allopurinol 300 mg remains active despite an allopurinol-rash allergy.</w:t>
            </w:r>
          </w:p>
        </w:tc>
        <w:tc>
          <w:tcPr>
            <w:tcW w:w="4495" w:type="dxa"/>
          </w:tcPr>
          <w:p w14:paraId="28C440CE" w14:textId="2DC466C8" w:rsidR="00630E18" w:rsidRDefault="00630E18" w:rsidP="00630E18">
            <w:r w:rsidRPr="004E1836">
              <w:t>Verify the reaction; hold or stop allopurinol until clarified; change therapy or document why continuation is justified.</w:t>
            </w:r>
          </w:p>
        </w:tc>
      </w:tr>
      <w:tr w:rsidR="00630E18" w14:paraId="4C437F93" w14:textId="77777777" w:rsidTr="008F7093">
        <w:tc>
          <w:tcPr>
            <w:tcW w:w="985" w:type="dxa"/>
          </w:tcPr>
          <w:p w14:paraId="679910B2" w14:textId="62A7DE05" w:rsidR="00630E18" w:rsidRDefault="00630E18" w:rsidP="00630E18">
            <w:r w:rsidRPr="004E1836">
              <w:t>P024</w:t>
            </w:r>
          </w:p>
        </w:tc>
        <w:tc>
          <w:tcPr>
            <w:tcW w:w="3870" w:type="dxa"/>
          </w:tcPr>
          <w:p w14:paraId="76226809" w14:textId="5CFD5E13" w:rsidR="00630E18" w:rsidRDefault="00630E18" w:rsidP="00630E18">
            <w:r w:rsidRPr="004E1836">
              <w:t>NSAID-rash allergy with celecoxib 200 mg BID; eGFR 28 with metformin and baclofen.</w:t>
            </w:r>
          </w:p>
        </w:tc>
        <w:tc>
          <w:tcPr>
            <w:tcW w:w="4495" w:type="dxa"/>
          </w:tcPr>
          <w:p w14:paraId="20FE0646" w14:textId="7F0EED31" w:rsidR="00630E18" w:rsidRDefault="00630E18" w:rsidP="00630E18">
            <w:r w:rsidRPr="004E1836">
              <w:t>Stop celecoxib unless clearly justified; stop metformin; avoid or reduce baclofen; repeat renal function and potassium.</w:t>
            </w:r>
          </w:p>
        </w:tc>
      </w:tr>
      <w:tr w:rsidR="00630E18" w14:paraId="5972EEFC" w14:textId="77777777" w:rsidTr="008F7093">
        <w:tc>
          <w:tcPr>
            <w:tcW w:w="985" w:type="dxa"/>
          </w:tcPr>
          <w:p w14:paraId="54820391" w14:textId="7AAE7F63" w:rsidR="00630E18" w:rsidRDefault="00630E18" w:rsidP="00630E18">
            <w:r w:rsidRPr="004E1836">
              <w:t>P014</w:t>
            </w:r>
          </w:p>
        </w:tc>
        <w:tc>
          <w:tcPr>
            <w:tcW w:w="3870" w:type="dxa"/>
          </w:tcPr>
          <w:p w14:paraId="1ACFB15D" w14:textId="1359EC48" w:rsidR="00630E18" w:rsidRDefault="00630E18" w:rsidP="00630E18">
            <w:r w:rsidRPr="004E1836">
              <w:t>Nitrofurantoin intolerance with nitrofurantoin 100 mg nightly still active; eGFR 29.</w:t>
            </w:r>
          </w:p>
        </w:tc>
        <w:tc>
          <w:tcPr>
            <w:tcW w:w="4495" w:type="dxa"/>
          </w:tcPr>
          <w:p w14:paraId="2CD3EE8A" w14:textId="7BCA4E9C" w:rsidR="00630E18" w:rsidRDefault="00630E18" w:rsidP="00630E18">
            <w:r w:rsidRPr="004E1836">
              <w:t>Stop pending review; verify intolerance; choose another prevention plan if prophylaxis remains necessary.</w:t>
            </w:r>
          </w:p>
        </w:tc>
      </w:tr>
      <w:tr w:rsidR="00630E18" w14:paraId="515C942F" w14:textId="77777777" w:rsidTr="008F7093">
        <w:tc>
          <w:tcPr>
            <w:tcW w:w="985" w:type="dxa"/>
          </w:tcPr>
          <w:p w14:paraId="294724FF" w14:textId="1B36A951" w:rsidR="00630E18" w:rsidRDefault="00630E18" w:rsidP="00630E18">
            <w:r w:rsidRPr="004E1836">
              <w:t>P019</w:t>
            </w:r>
          </w:p>
        </w:tc>
        <w:tc>
          <w:tcPr>
            <w:tcW w:w="3870" w:type="dxa"/>
          </w:tcPr>
          <w:p w14:paraId="2963103F" w14:textId="1B0A389B" w:rsidR="00630E18" w:rsidRDefault="00630E18" w:rsidP="00630E18">
            <w:r w:rsidRPr="004E1836">
              <w:t>Methotrexate with AST 48 U/L and ALT 55 U/L; rheumatology follow-up not scheduled.</w:t>
            </w:r>
          </w:p>
        </w:tc>
        <w:tc>
          <w:tcPr>
            <w:tcW w:w="4495" w:type="dxa"/>
          </w:tcPr>
          <w:p w14:paraId="587310E9" w14:textId="722A6447" w:rsidR="00630E18" w:rsidRDefault="00630E18" w:rsidP="00630E18">
            <w:r w:rsidRPr="004E1836">
              <w:t>Repeat CBC/LFTs promptly; arrange rheumatology review; decide whether methotrexate should be held while results are reviewed.</w:t>
            </w:r>
          </w:p>
        </w:tc>
      </w:tr>
      <w:tr>
        <w:tc>
          <w:tcPr>
            <w:tcW w:type="dxa" w:w="985"/>
          </w:tcPr>
          <w:p>
            <w:r>
              <w:t>P003</w:t>
            </w:r>
          </w:p>
        </w:tc>
        <w:tc>
          <w:tcPr>
            <w:tcW w:type="dxa" w:w="3870"/>
          </w:tcPr>
          <w:p>
            <w:r>
              <w:t>Oxybutynin ER 10 mg daily with amitriptyline 25 mg nightly in dementia; caregiver reports worsening constipation and daytime sedation; anticholinergic burden opposes donepezil</w:t>
            </w:r>
          </w:p>
        </w:tc>
        <w:tc>
          <w:tcPr>
            <w:tcW w:type="dxa" w:w="4495"/>
          </w:tcPr>
          <w:p>
            <w:r>
              <w:t>Deprescribe or switch the anticholinergics; bowel regimen review; geriatric medication review within 1 week</w:t>
            </w:r>
          </w:p>
        </w:tc>
      </w:tr>
      <w:tr>
        <w:tc>
          <w:tcPr>
            <w:tcW w:type="dxa" w:w="985"/>
          </w:tcPr>
          <w:p>
            <w:r>
              <w:t>P007</w:t>
            </w:r>
          </w:p>
        </w:tc>
        <w:tc>
          <w:tcPr>
            <w:tcW w:type="dxa" w:w="3870"/>
          </w:tcPr>
          <w:p>
            <w:r>
              <w:t>Lorazepam 0.5 mg TID PRN taken with trazodone 100 mg nightly and mirtazapine 15 mg nightly in a 91-year-old with frailty, 4 falls, and a wrist fracture</w:t>
            </w:r>
          </w:p>
        </w:tc>
        <w:tc>
          <w:tcPr>
            <w:tcW w:type="dxa" w:w="4495"/>
          </w:tcPr>
          <w:p>
            <w:r>
              <w:t>Consolidate to a single sleep agent; taper lorazepam; falls program referral within 1 week</w:t>
            </w:r>
          </w:p>
        </w:tc>
      </w:tr>
      <w:tr>
        <w:tc>
          <w:tcPr>
            <w:tcW w:type="dxa" w:w="985"/>
          </w:tcPr>
          <w:p>
            <w:r>
              <w:t>P021</w:t>
            </w:r>
          </w:p>
        </w:tc>
        <w:tc>
          <w:tcPr>
            <w:tcW w:type="dxa" w:w="3870"/>
          </w:tcPr>
          <w:p>
            <w:r>
              <w:t>Duloxetine 120 mg daily with tramadol and gabapentin 800 mg TID after a dose increase; dizziness and unsteady gait; serotonergic and sedative load in CKD stage 3a</w:t>
            </w:r>
          </w:p>
        </w:tc>
        <w:tc>
          <w:tcPr>
            <w:tcW w:type="dxa" w:w="4495"/>
          </w:tcPr>
          <w:p>
            <w:r>
              <w:t>Review the recent dose increase; reduce overlapping agents; renal dosing check within 1 week</w:t>
            </w:r>
          </w:p>
        </w:tc>
      </w:tr>
    </w:tbl>
    <w:p w14:paraId="6F899216" w14:textId="77777777" w:rsidR="00630E18" w:rsidRDefault="00630E18" w:rsidP="00630E18">
      <w:pPr>
        <w:spacing w:line="240" w:lineRule="auto"/>
        <w:contextualSpacing/>
      </w:pPr>
    </w:p>
    <w:p w14:paraId="53705B4C" w14:textId="652F5E62" w:rsidR="00630E18" w:rsidRDefault="00630E18" w:rsidP="00630E18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2A3481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="00404231">
        <w:rPr>
          <w:b/>
          <w:bCs/>
          <w:sz w:val="28"/>
          <w:szCs w:val="28"/>
        </w:rPr>
        <w:t>Common Issues Across Patients</w:t>
      </w:r>
    </w:p>
    <w:p w14:paraId="146C7147" w14:textId="448C3F97" w:rsidR="00630E18" w:rsidRPr="00630E18" w:rsidRDefault="00630E18" w:rsidP="00630E18">
      <w:pPr>
        <w:spacing w:line="240" w:lineRule="auto"/>
        <w:rPr>
          <w:b/>
          <w:bCs/>
        </w:rPr>
      </w:pPr>
      <w:r w:rsidRPr="00630E18">
        <w:rPr>
          <w:b/>
          <w:bCs/>
        </w:rPr>
        <w:t>Medication reconciliation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189"/>
        <w:gridCol w:w="4045"/>
      </w:tblGrid>
      <w:tr w:rsidR="00630E18" w14:paraId="3F148835" w14:textId="77777777" w:rsidTr="008F7093">
        <w:tc>
          <w:tcPr>
            <w:tcW w:w="3116" w:type="dxa"/>
            <w:shd w:val="clear" w:color="auto" w:fill="E7E6E6" w:themeFill="background2"/>
          </w:tcPr>
          <w:p w14:paraId="7C61CE25" w14:textId="7F2792BC" w:rsidR="00630E18" w:rsidRPr="008F7093" w:rsidRDefault="00630E18" w:rsidP="00630E18">
            <w:pPr>
              <w:rPr>
                <w:b/>
                <w:bCs/>
              </w:rPr>
            </w:pPr>
            <w:r w:rsidRPr="008F7093">
              <w:rPr>
                <w:b/>
                <w:bCs/>
              </w:rPr>
              <w:t>Problem type</w:t>
            </w:r>
          </w:p>
        </w:tc>
        <w:tc>
          <w:tcPr>
            <w:tcW w:w="2189" w:type="dxa"/>
            <w:shd w:val="clear" w:color="auto" w:fill="E7E6E6" w:themeFill="background2"/>
          </w:tcPr>
          <w:p w14:paraId="4F2E5548" w14:textId="2C352BC9" w:rsidR="00630E18" w:rsidRPr="008F7093" w:rsidRDefault="00630E18" w:rsidP="00630E18">
            <w:pPr>
              <w:rPr>
                <w:b/>
                <w:bCs/>
              </w:rPr>
            </w:pPr>
            <w:r w:rsidRPr="008F7093">
              <w:rPr>
                <w:b/>
                <w:bCs/>
              </w:rPr>
              <w:t>Patient example</w:t>
            </w:r>
          </w:p>
        </w:tc>
        <w:tc>
          <w:tcPr>
            <w:tcW w:w="4045" w:type="dxa"/>
            <w:shd w:val="clear" w:color="auto" w:fill="E7E6E6" w:themeFill="background2"/>
          </w:tcPr>
          <w:p w14:paraId="3F8A7E1A" w14:textId="0EDD90AB" w:rsidR="00630E18" w:rsidRPr="008F7093" w:rsidRDefault="00630E18" w:rsidP="00630E18">
            <w:pPr>
              <w:rPr>
                <w:b/>
                <w:bCs/>
              </w:rPr>
            </w:pPr>
            <w:r w:rsidRPr="008F7093">
              <w:rPr>
                <w:b/>
                <w:bCs/>
              </w:rPr>
              <w:t>Required resolution</w:t>
            </w:r>
          </w:p>
        </w:tc>
      </w:tr>
      <w:tr w:rsidR="00630E18" w14:paraId="09D64DB1" w14:textId="77777777" w:rsidTr="008F7093">
        <w:tc>
          <w:tcPr>
            <w:tcW w:w="3116" w:type="dxa"/>
          </w:tcPr>
          <w:p w14:paraId="11BA2E27" w14:textId="6503B102" w:rsidR="00630E18" w:rsidRDefault="00630E18" w:rsidP="00630E18">
            <w:r w:rsidRPr="00846B00">
              <w:t>Old medication restarted after discharge</w:t>
            </w:r>
          </w:p>
        </w:tc>
        <w:tc>
          <w:tcPr>
            <w:tcW w:w="2189" w:type="dxa"/>
          </w:tcPr>
          <w:p w14:paraId="2E8939ED" w14:textId="59AA7F1A" w:rsidR="00630E18" w:rsidRDefault="00630E18" w:rsidP="00630E18">
            <w:r w:rsidRPr="00846B00">
              <w:t>P002, P010</w:t>
            </w:r>
          </w:p>
        </w:tc>
        <w:tc>
          <w:tcPr>
            <w:tcW w:w="4045" w:type="dxa"/>
          </w:tcPr>
          <w:p w14:paraId="618015EF" w14:textId="7CDAFF6E" w:rsidR="00630E18" w:rsidRDefault="00630E18" w:rsidP="00630E18">
            <w:r w:rsidRPr="00846B00">
              <w:t>Remove outdated bottles and align home use with discharge instructions.</w:t>
            </w:r>
          </w:p>
        </w:tc>
      </w:tr>
      <w:tr w:rsidR="00630E18" w14:paraId="4DF03173" w14:textId="77777777" w:rsidTr="008F7093">
        <w:tc>
          <w:tcPr>
            <w:tcW w:w="3116" w:type="dxa"/>
          </w:tcPr>
          <w:p w14:paraId="7D6F26EF" w14:textId="788609E1" w:rsidR="00630E18" w:rsidRDefault="00630E18" w:rsidP="00630E18">
            <w:r w:rsidRPr="00846B00">
              <w:t>Specialist and primary-care lists conflict</w:t>
            </w:r>
          </w:p>
        </w:tc>
        <w:tc>
          <w:tcPr>
            <w:tcW w:w="2189" w:type="dxa"/>
          </w:tcPr>
          <w:p w14:paraId="2C35A266" w14:textId="493604BC" w:rsidR="00630E18" w:rsidRDefault="00630E18" w:rsidP="00630E18">
            <w:r w:rsidRPr="00846B00">
              <w:t>P005, P011, P013, P022</w:t>
            </w:r>
          </w:p>
        </w:tc>
        <w:tc>
          <w:tcPr>
            <w:tcW w:w="4045" w:type="dxa"/>
          </w:tcPr>
          <w:p w14:paraId="20A3FB66" w14:textId="0EC49113" w:rsidR="00630E18" w:rsidRDefault="00630E18" w:rsidP="00630E18">
            <w:r w:rsidRPr="00846B00">
              <w:t xml:space="preserve">Confirm </w:t>
            </w:r>
            <w:r w:rsidR="00B829A2">
              <w:t>which regimen should continue before authorizing more refills.</w:t>
            </w:r>
          </w:p>
        </w:tc>
      </w:tr>
      <w:tr w:rsidR="00630E18" w14:paraId="638E06E1" w14:textId="77777777" w:rsidTr="008F7093">
        <w:tc>
          <w:tcPr>
            <w:tcW w:w="3116" w:type="dxa"/>
          </w:tcPr>
          <w:p w14:paraId="12A5E7DD" w14:textId="6662F798" w:rsidR="00630E18" w:rsidRDefault="00630E18" w:rsidP="00630E18">
            <w:r w:rsidRPr="00846B00">
              <w:t>Medication remained active after stop order</w:t>
            </w:r>
          </w:p>
        </w:tc>
        <w:tc>
          <w:tcPr>
            <w:tcW w:w="2189" w:type="dxa"/>
          </w:tcPr>
          <w:p w14:paraId="01BCD006" w14:textId="7DC17348" w:rsidR="00630E18" w:rsidRDefault="00630E18" w:rsidP="00630E18">
            <w:r w:rsidRPr="00846B00">
              <w:t>P018</w:t>
            </w:r>
          </w:p>
        </w:tc>
        <w:tc>
          <w:tcPr>
            <w:tcW w:w="4045" w:type="dxa"/>
          </w:tcPr>
          <w:p w14:paraId="43851546" w14:textId="01709509" w:rsidR="00630E18" w:rsidRDefault="00630E18" w:rsidP="00630E18">
            <w:r w:rsidRPr="00846B00">
              <w:t>Remove potassium chloride and document the ED instruction.</w:t>
            </w:r>
          </w:p>
        </w:tc>
      </w:tr>
      <w:tr w:rsidR="00630E18" w14:paraId="2A47FD3C" w14:textId="77777777" w:rsidTr="008F7093">
        <w:tc>
          <w:tcPr>
            <w:tcW w:w="3116" w:type="dxa"/>
          </w:tcPr>
          <w:p w14:paraId="5AAADE85" w14:textId="571221C1" w:rsidR="00630E18" w:rsidRDefault="00630E18" w:rsidP="00630E18">
            <w:r w:rsidRPr="00846B00">
              <w:t>Facility MAR differs from clinic list</w:t>
            </w:r>
          </w:p>
        </w:tc>
        <w:tc>
          <w:tcPr>
            <w:tcW w:w="2189" w:type="dxa"/>
          </w:tcPr>
          <w:p w14:paraId="68278D06" w14:textId="6DA5DEC0" w:rsidR="00630E18" w:rsidRDefault="00630E18" w:rsidP="00630E18">
            <w:r w:rsidRPr="00846B00">
              <w:t>P020</w:t>
            </w:r>
          </w:p>
        </w:tc>
        <w:tc>
          <w:tcPr>
            <w:tcW w:w="4045" w:type="dxa"/>
          </w:tcPr>
          <w:p w14:paraId="505A10EC" w14:textId="0F5F57CD" w:rsidR="00630E18" w:rsidRDefault="00630E18" w:rsidP="00630E18">
            <w:r w:rsidRPr="00846B00">
              <w:t>Reconcile facility MAR, clinic record, and pharmacy fills.</w:t>
            </w:r>
          </w:p>
        </w:tc>
      </w:tr>
      <w:tr w:rsidR="00630E18" w14:paraId="115A89CB" w14:textId="77777777" w:rsidTr="008F7093">
        <w:tc>
          <w:tcPr>
            <w:tcW w:w="3116" w:type="dxa"/>
          </w:tcPr>
          <w:p w14:paraId="26CAB5EC" w14:textId="57B80440" w:rsidR="00630E18" w:rsidRDefault="00630E18" w:rsidP="00630E18">
            <w:r w:rsidRPr="00846B00">
              <w:t>Unreviewed PRN or self-start use</w:t>
            </w:r>
          </w:p>
        </w:tc>
        <w:tc>
          <w:tcPr>
            <w:tcW w:w="2189" w:type="dxa"/>
          </w:tcPr>
          <w:p w14:paraId="49B1F161" w14:textId="4987EE9B" w:rsidR="00630E18" w:rsidRDefault="00630E18" w:rsidP="00630E18">
            <w:r w:rsidRPr="00846B00">
              <w:t>P023, P025</w:t>
            </w:r>
          </w:p>
        </w:tc>
        <w:tc>
          <w:tcPr>
            <w:tcW w:w="4045" w:type="dxa"/>
          </w:tcPr>
          <w:p w14:paraId="4A85FD7D" w14:textId="7ED98499" w:rsidR="00630E18" w:rsidRDefault="00630E18" w:rsidP="00630E18">
            <w:r w:rsidRPr="00846B00">
              <w:t>Confirm actual use and replace it with a written follow-up plan.</w:t>
            </w:r>
          </w:p>
        </w:tc>
      </w:tr>
    </w:tbl>
    <w:p w14:paraId="3623A78A" w14:textId="77777777" w:rsidR="003231F1" w:rsidRDefault="003231F1" w:rsidP="00630E18">
      <w:pPr>
        <w:spacing w:line="240" w:lineRule="auto"/>
      </w:pPr>
    </w:p>
    <w:p w14:paraId="5A29D4DE" w14:textId="77777777" w:rsidR="003231F1" w:rsidRDefault="003231F1">
      <w:r>
        <w:br w:type="page"/>
      </w:r>
    </w:p>
    <w:p w14:paraId="6CE53F9A" w14:textId="10DF1B5F" w:rsidR="003231F1" w:rsidRDefault="00404231" w:rsidP="00630E18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Patients with eGFR below 45</w:t>
      </w:r>
    </w:p>
    <w:p w14:paraId="3BE9198F" w14:textId="31C5DEDF" w:rsidR="00630E18" w:rsidRPr="00630E18" w:rsidRDefault="00630E18" w:rsidP="00630E18">
      <w:pPr>
        <w:spacing w:line="240" w:lineRule="auto"/>
      </w:pPr>
      <w:r w:rsidRPr="00630E18">
        <w:t xml:space="preserve">P001, P002, P006, P010, P011, P014, P016, P017, P018, and P024. </w:t>
      </w:r>
      <w:r w:rsidR="00404231">
        <w:t xml:space="preserve">Review these patients for renal dosing and monitoring concerns involving metformin, anticoagulants, digoxin, NSAIDs, nitrofurantoin, baclofen, </w:t>
      </w:r>
      <w:proofErr w:type="spellStart"/>
      <w:r w:rsidR="00404231">
        <w:t>gabapentinoids</w:t>
      </w:r>
      <w:proofErr w:type="spellEnd"/>
      <w:r w:rsidR="00404231">
        <w:t>, potassium supplements, and ACE inhibitor/spironolactone combinations.</w:t>
      </w:r>
    </w:p>
    <w:p w14:paraId="344E1B40" w14:textId="173923FE" w:rsidR="003231F1" w:rsidRPr="003231F1" w:rsidRDefault="003231F1" w:rsidP="00630E18">
      <w:pPr>
        <w:spacing w:line="240" w:lineRule="auto"/>
        <w:rPr>
          <w:b/>
          <w:bCs/>
        </w:rPr>
      </w:pPr>
      <w:r>
        <w:rPr>
          <w:b/>
          <w:bCs/>
        </w:rPr>
        <w:t>Long-term proton pump inhibitor review</w:t>
      </w:r>
    </w:p>
    <w:p w14:paraId="0F8E762B" w14:textId="1461C800" w:rsidR="00630E18" w:rsidRPr="003231F1" w:rsidRDefault="00630E18" w:rsidP="00630E18">
      <w:pPr>
        <w:spacing w:line="240" w:lineRule="auto"/>
        <w:rPr>
          <w:b/>
          <w:bCs/>
        </w:rPr>
      </w:pPr>
      <w:r w:rsidRPr="00630E18">
        <w:t xml:space="preserve">Chronic PPI use is present in P002, P005, P016, and P019. </w:t>
      </w:r>
      <w:r w:rsidR="00B829A2">
        <w:t xml:space="preserve">For P016, review whether the PPI is still needed and document the reason if it is continued. </w:t>
      </w:r>
      <w:r w:rsidRPr="00630E18">
        <w:t>For the others, confirm indication, dose, duration, and ongoing need.</w:t>
      </w:r>
    </w:p>
    <w:p w14:paraId="239B49A7" w14:textId="6445ACB7" w:rsidR="00630E18" w:rsidRDefault="00630E18" w:rsidP="00630E18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2A3481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Pr="00630E18">
        <w:rPr>
          <w:b/>
          <w:bCs/>
          <w:sz w:val="28"/>
          <w:szCs w:val="28"/>
        </w:rPr>
        <w:t>Follow-Up and Quality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00"/>
        <w:gridCol w:w="1674"/>
        <w:gridCol w:w="2551"/>
      </w:tblGrid>
      <w:tr w:rsidR="008F7093" w14:paraId="7BC31C18" w14:textId="77777777" w:rsidTr="008F7093">
        <w:tc>
          <w:tcPr>
            <w:tcW w:w="2425" w:type="dxa"/>
            <w:shd w:val="clear" w:color="auto" w:fill="E7E6E6" w:themeFill="background2"/>
          </w:tcPr>
          <w:p w14:paraId="176543DE" w14:textId="178AB4E6" w:rsidR="008F7093" w:rsidRPr="008F7093" w:rsidRDefault="008F7093" w:rsidP="008F7093">
            <w:pPr>
              <w:rPr>
                <w:b/>
                <w:bCs/>
              </w:rPr>
            </w:pPr>
            <w:r w:rsidRPr="008F7093">
              <w:rPr>
                <w:b/>
                <w:bCs/>
              </w:rPr>
              <w:t>Metric</w:t>
            </w:r>
          </w:p>
        </w:tc>
        <w:tc>
          <w:tcPr>
            <w:tcW w:w="2700" w:type="dxa"/>
            <w:shd w:val="clear" w:color="auto" w:fill="E7E6E6" w:themeFill="background2"/>
          </w:tcPr>
          <w:p w14:paraId="22E957F8" w14:textId="298C2105" w:rsidR="008F7093" w:rsidRPr="008F7093" w:rsidRDefault="008F7093" w:rsidP="008F7093">
            <w:pPr>
              <w:rPr>
                <w:b/>
                <w:bCs/>
              </w:rPr>
            </w:pPr>
            <w:r w:rsidRPr="008F7093">
              <w:rPr>
                <w:b/>
                <w:bCs/>
              </w:rPr>
              <w:t>What to track</w:t>
            </w:r>
          </w:p>
        </w:tc>
        <w:tc>
          <w:tcPr>
            <w:tcW w:w="1674" w:type="dxa"/>
            <w:shd w:val="clear" w:color="auto" w:fill="E7E6E6" w:themeFill="background2"/>
          </w:tcPr>
          <w:p w14:paraId="4FF203E1" w14:textId="253567F5" w:rsidR="008F7093" w:rsidRPr="008F7093" w:rsidRDefault="008F7093" w:rsidP="008F7093">
            <w:pPr>
              <w:rPr>
                <w:b/>
                <w:bCs/>
              </w:rPr>
            </w:pPr>
            <w:r w:rsidRPr="008F7093">
              <w:rPr>
                <w:b/>
                <w:bCs/>
              </w:rPr>
              <w:t>Frequency</w:t>
            </w:r>
          </w:p>
        </w:tc>
        <w:tc>
          <w:tcPr>
            <w:tcW w:w="2551" w:type="dxa"/>
            <w:shd w:val="clear" w:color="auto" w:fill="E7E6E6" w:themeFill="background2"/>
          </w:tcPr>
          <w:p w14:paraId="6CE08109" w14:textId="50B60B1C" w:rsidR="008F7093" w:rsidRPr="008F7093" w:rsidRDefault="008F7093" w:rsidP="008F7093">
            <w:pPr>
              <w:rPr>
                <w:b/>
                <w:bCs/>
              </w:rPr>
            </w:pPr>
            <w:r w:rsidRPr="008F7093">
              <w:rPr>
                <w:b/>
                <w:bCs/>
              </w:rPr>
              <w:t>Owner</w:t>
            </w:r>
          </w:p>
        </w:tc>
      </w:tr>
      <w:tr w:rsidR="008F7093" w14:paraId="0A0A4056" w14:textId="77777777" w:rsidTr="008F7093">
        <w:tc>
          <w:tcPr>
            <w:tcW w:w="2425" w:type="dxa"/>
          </w:tcPr>
          <w:p w14:paraId="02F975CF" w14:textId="750561E0" w:rsidR="008F7093" w:rsidRPr="004E1836" w:rsidRDefault="008F7093" w:rsidP="008F7093">
            <w:r w:rsidRPr="007D7D1C">
              <w:t>Medication reconciliation</w:t>
            </w:r>
          </w:p>
        </w:tc>
        <w:tc>
          <w:tcPr>
            <w:tcW w:w="2700" w:type="dxa"/>
          </w:tcPr>
          <w:p w14:paraId="37293B2D" w14:textId="1C83DFDC" w:rsidR="008F7093" w:rsidRPr="004E1836" w:rsidRDefault="008F7093" w:rsidP="008F7093">
            <w:r w:rsidRPr="007D7D1C">
              <w:t>8/25 complete; 17/25 with a gap</w:t>
            </w:r>
          </w:p>
        </w:tc>
        <w:tc>
          <w:tcPr>
            <w:tcW w:w="1674" w:type="dxa"/>
          </w:tcPr>
          <w:p w14:paraId="43CFF0EF" w14:textId="66A63E28" w:rsidR="008F7093" w:rsidRPr="004E1836" w:rsidRDefault="008F7093" w:rsidP="008F7093">
            <w:r w:rsidRPr="007D7D1C">
              <w:t>Monthly</w:t>
            </w:r>
          </w:p>
        </w:tc>
        <w:tc>
          <w:tcPr>
            <w:tcW w:w="2551" w:type="dxa"/>
          </w:tcPr>
          <w:p w14:paraId="1B5AEB86" w14:textId="58FBD2DF" w:rsidR="008F7093" w:rsidRPr="004E1836" w:rsidRDefault="008F7093" w:rsidP="008F7093">
            <w:r w:rsidRPr="007D7D1C">
              <w:t>Primary care NP + care coordination</w:t>
            </w:r>
          </w:p>
        </w:tc>
      </w:tr>
      <w:tr w:rsidR="008F7093" w14:paraId="68EB65AC" w14:textId="77777777" w:rsidTr="008F7093">
        <w:tc>
          <w:tcPr>
            <w:tcW w:w="2425" w:type="dxa"/>
          </w:tcPr>
          <w:p w14:paraId="4652CFC0" w14:textId="531781DA" w:rsidR="008F7093" w:rsidRPr="004E1836" w:rsidRDefault="008F7093" w:rsidP="008F7093">
            <w:r w:rsidRPr="007D7D1C">
              <w:t>Pharmacist referrals</w:t>
            </w:r>
          </w:p>
        </w:tc>
        <w:tc>
          <w:tcPr>
            <w:tcW w:w="2700" w:type="dxa"/>
          </w:tcPr>
          <w:p w14:paraId="71F8CE8A" w14:textId="0244BE1F" w:rsidR="008F7093" w:rsidRPr="004E1836" w:rsidRDefault="00B829A2" w:rsidP="008F7093">
            <w:r>
              <w:t>Review completion of pharmacist referrals</w:t>
            </w:r>
          </w:p>
        </w:tc>
        <w:tc>
          <w:tcPr>
            <w:tcW w:w="1674" w:type="dxa"/>
          </w:tcPr>
          <w:p w14:paraId="71188382" w14:textId="3C8A5A5E" w:rsidR="008F7093" w:rsidRPr="004E1836" w:rsidRDefault="008F7093" w:rsidP="008F7093">
            <w:r w:rsidRPr="007D7D1C">
              <w:t>Monthly</w:t>
            </w:r>
          </w:p>
        </w:tc>
        <w:tc>
          <w:tcPr>
            <w:tcW w:w="2551" w:type="dxa"/>
          </w:tcPr>
          <w:p w14:paraId="547A0A56" w14:textId="44BF2D25" w:rsidR="008F7093" w:rsidRPr="004E1836" w:rsidRDefault="008F7093" w:rsidP="008F7093">
            <w:r w:rsidRPr="007D7D1C">
              <w:t>Ambulatory pharmacy</w:t>
            </w:r>
          </w:p>
        </w:tc>
      </w:tr>
      <w:tr w:rsidR="008F7093" w14:paraId="31836737" w14:textId="77777777" w:rsidTr="008F7093">
        <w:tc>
          <w:tcPr>
            <w:tcW w:w="2425" w:type="dxa"/>
          </w:tcPr>
          <w:p w14:paraId="29A86EEC" w14:textId="5D7C3D4D" w:rsidR="008F7093" w:rsidRPr="004E1836" w:rsidRDefault="008F7093" w:rsidP="008F7093">
            <w:r w:rsidRPr="007D7D1C">
              <w:t>High-risk medication reviews</w:t>
            </w:r>
          </w:p>
        </w:tc>
        <w:tc>
          <w:tcPr>
            <w:tcW w:w="2700" w:type="dxa"/>
          </w:tcPr>
          <w:p w14:paraId="3DB41BBE" w14:textId="72496045" w:rsidR="008F7093" w:rsidRPr="004E1836" w:rsidRDefault="00B829A2" w:rsidP="008F7093">
            <w:r>
              <w:t>Review whether high-risk medication reviews were completed by the due date</w:t>
            </w:r>
          </w:p>
        </w:tc>
        <w:tc>
          <w:tcPr>
            <w:tcW w:w="1674" w:type="dxa"/>
          </w:tcPr>
          <w:p w14:paraId="419910DB" w14:textId="64378A97" w:rsidR="008F7093" w:rsidRPr="004E1836" w:rsidRDefault="008F7093" w:rsidP="008F7093">
            <w:r w:rsidRPr="007D7D1C">
              <w:t>Monthly</w:t>
            </w:r>
          </w:p>
        </w:tc>
        <w:tc>
          <w:tcPr>
            <w:tcW w:w="2551" w:type="dxa"/>
          </w:tcPr>
          <w:p w14:paraId="28286A51" w14:textId="64E2E4F5" w:rsidR="008F7093" w:rsidRPr="004E1836" w:rsidRDefault="008F7093" w:rsidP="008F7093">
            <w:r w:rsidRPr="007D7D1C">
              <w:t>Primary care NP</w:t>
            </w:r>
          </w:p>
        </w:tc>
      </w:tr>
      <w:tr w:rsidR="008F7093" w14:paraId="6DA90EB1" w14:textId="77777777" w:rsidTr="008F7093">
        <w:tc>
          <w:tcPr>
            <w:tcW w:w="2425" w:type="dxa"/>
          </w:tcPr>
          <w:p w14:paraId="0719BF3B" w14:textId="3173E5AD" w:rsidR="008F7093" w:rsidRDefault="008F7093" w:rsidP="008F7093">
            <w:r w:rsidRPr="007D7D1C">
              <w:t>Renal medication review</w:t>
            </w:r>
          </w:p>
        </w:tc>
        <w:tc>
          <w:tcPr>
            <w:tcW w:w="2700" w:type="dxa"/>
          </w:tcPr>
          <w:p w14:paraId="01C9ED50" w14:textId="794C259F" w:rsidR="008F7093" w:rsidRDefault="008F7093" w:rsidP="008F7093">
            <w:r w:rsidRPr="007D7D1C">
              <w:t>Track all 10 patients with eGFR &lt;45</w:t>
            </w:r>
          </w:p>
        </w:tc>
        <w:tc>
          <w:tcPr>
            <w:tcW w:w="1674" w:type="dxa"/>
          </w:tcPr>
          <w:p w14:paraId="33E376B2" w14:textId="7F127D0F" w:rsidR="008F7093" w:rsidRPr="004E1836" w:rsidRDefault="008F7093" w:rsidP="008F7093">
            <w:r w:rsidRPr="007D7D1C">
              <w:t>Monthly</w:t>
            </w:r>
          </w:p>
        </w:tc>
        <w:tc>
          <w:tcPr>
            <w:tcW w:w="2551" w:type="dxa"/>
          </w:tcPr>
          <w:p w14:paraId="3AA1D65A" w14:textId="6107E9B9" w:rsidR="008F7093" w:rsidRDefault="008F7093" w:rsidP="008F7093">
            <w:r w:rsidRPr="007D7D1C">
              <w:t>Primary care NP + pharmacist</w:t>
            </w:r>
          </w:p>
        </w:tc>
      </w:tr>
      <w:tr w:rsidR="008F7093" w14:paraId="27788B12" w14:textId="77777777" w:rsidTr="008F7093">
        <w:tc>
          <w:tcPr>
            <w:tcW w:w="2425" w:type="dxa"/>
          </w:tcPr>
          <w:p w14:paraId="13133A8A" w14:textId="079E5ABE" w:rsidR="008F7093" w:rsidRPr="00FF09F2" w:rsidRDefault="008F7093" w:rsidP="008F7093">
            <w:r w:rsidRPr="007D7D1C">
              <w:t>Laboratory monitoring</w:t>
            </w:r>
          </w:p>
        </w:tc>
        <w:tc>
          <w:tcPr>
            <w:tcW w:w="2700" w:type="dxa"/>
          </w:tcPr>
          <w:p w14:paraId="63B98464" w14:textId="610BF128" w:rsidR="008F7093" w:rsidRPr="00FF09F2" w:rsidRDefault="008F7093" w:rsidP="008F7093">
            <w:r w:rsidRPr="007D7D1C">
              <w:t>INR, digoxin, theophylline, potassium, renal and liver testing</w:t>
            </w:r>
          </w:p>
        </w:tc>
        <w:tc>
          <w:tcPr>
            <w:tcW w:w="1674" w:type="dxa"/>
          </w:tcPr>
          <w:p w14:paraId="5F18DC60" w14:textId="222F65F9" w:rsidR="008F7093" w:rsidRPr="00FF09F2" w:rsidRDefault="008F7093" w:rsidP="008F7093">
            <w:r w:rsidRPr="007D7D1C">
              <w:t>Monthly</w:t>
            </w:r>
          </w:p>
        </w:tc>
        <w:tc>
          <w:tcPr>
            <w:tcW w:w="2551" w:type="dxa"/>
          </w:tcPr>
          <w:p w14:paraId="57CB25DE" w14:textId="0F67BE27" w:rsidR="008F7093" w:rsidRPr="00FF09F2" w:rsidRDefault="008F7093" w:rsidP="008F7093">
            <w:r w:rsidRPr="007D7D1C">
              <w:t>Primary care NP + RN</w:t>
            </w:r>
          </w:p>
        </w:tc>
      </w:tr>
      <w:tr w:rsidR="008F7093" w14:paraId="3A0A2AE8" w14:textId="77777777" w:rsidTr="008F7093">
        <w:tc>
          <w:tcPr>
            <w:tcW w:w="2425" w:type="dxa"/>
          </w:tcPr>
          <w:p w14:paraId="09A57E89" w14:textId="23FBF014" w:rsidR="008F7093" w:rsidRDefault="008F7093" w:rsidP="008F7093">
            <w:r w:rsidRPr="007D7D1C">
              <w:t>Deprescribing discussions</w:t>
            </w:r>
          </w:p>
        </w:tc>
        <w:tc>
          <w:tcPr>
            <w:tcW w:w="2700" w:type="dxa"/>
          </w:tcPr>
          <w:p w14:paraId="2CF40658" w14:textId="1A72A935" w:rsidR="008F7093" w:rsidRDefault="008F7093" w:rsidP="008F7093">
            <w:r w:rsidRPr="007D7D1C">
              <w:t>Document when a PIM or high-risk combination is found</w:t>
            </w:r>
          </w:p>
        </w:tc>
        <w:tc>
          <w:tcPr>
            <w:tcW w:w="1674" w:type="dxa"/>
          </w:tcPr>
          <w:p w14:paraId="417A5A78" w14:textId="07193696" w:rsidR="008F7093" w:rsidRPr="004E1836" w:rsidRDefault="008F7093" w:rsidP="008F7093">
            <w:r w:rsidRPr="007D7D1C">
              <w:t>Monthly</w:t>
            </w:r>
          </w:p>
        </w:tc>
        <w:tc>
          <w:tcPr>
            <w:tcW w:w="2551" w:type="dxa"/>
          </w:tcPr>
          <w:p w14:paraId="28A416C4" w14:textId="2BA69FDE" w:rsidR="008F7093" w:rsidRDefault="008F7093" w:rsidP="008F7093">
            <w:r w:rsidRPr="007D7D1C">
              <w:t>Primary care NP + pharmacist</w:t>
            </w:r>
          </w:p>
        </w:tc>
      </w:tr>
      <w:tr w:rsidR="008F7093" w14:paraId="267AF838" w14:textId="77777777" w:rsidTr="008F7093">
        <w:tc>
          <w:tcPr>
            <w:tcW w:w="2425" w:type="dxa"/>
          </w:tcPr>
          <w:p w14:paraId="5410CAF5" w14:textId="3B84E15C" w:rsidR="008F7093" w:rsidRPr="004E1836" w:rsidRDefault="008F7093" w:rsidP="008F7093">
            <w:r w:rsidRPr="007D7D1C">
              <w:t>Preventable medication-related ED visits/hospitalizations</w:t>
            </w:r>
          </w:p>
        </w:tc>
        <w:tc>
          <w:tcPr>
            <w:tcW w:w="2700" w:type="dxa"/>
          </w:tcPr>
          <w:p w14:paraId="2346F82A" w14:textId="2B88A924" w:rsidR="008F7093" w:rsidRPr="004E1836" w:rsidRDefault="00404231" w:rsidP="008F7093">
            <w:r>
              <w:t>Record each event, the medication involved, and whether follow-up had already been completed</w:t>
            </w:r>
          </w:p>
        </w:tc>
        <w:tc>
          <w:tcPr>
            <w:tcW w:w="1674" w:type="dxa"/>
          </w:tcPr>
          <w:p w14:paraId="74AB30F5" w14:textId="32F67692" w:rsidR="008F7093" w:rsidRPr="004E1836" w:rsidRDefault="008F7093" w:rsidP="008F7093">
            <w:r w:rsidRPr="007D7D1C">
              <w:t>Quarterly</w:t>
            </w:r>
          </w:p>
        </w:tc>
        <w:tc>
          <w:tcPr>
            <w:tcW w:w="2551" w:type="dxa"/>
          </w:tcPr>
          <w:p w14:paraId="66820EB4" w14:textId="1D8DA981" w:rsidR="008F7093" w:rsidRPr="004E1836" w:rsidRDefault="008F7093" w:rsidP="008F7093">
            <w:r w:rsidRPr="007D7D1C">
              <w:t>Clinical operations</w:t>
            </w:r>
          </w:p>
        </w:tc>
      </w:tr>
    </w:tbl>
    <w:p w14:paraId="0AB5041B" w14:textId="77777777" w:rsidR="008F7093" w:rsidRDefault="008F7093" w:rsidP="008F7093">
      <w:pPr>
        <w:spacing w:line="240" w:lineRule="auto"/>
        <w:contextualSpacing/>
      </w:pPr>
    </w:p>
    <w:p w14:paraId="443DB026" w14:textId="6B6729A2" w:rsidR="008F7093" w:rsidRDefault="008F7093" w:rsidP="008F7093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Pr="002A3481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="00A64940">
        <w:rPr>
          <w:b/>
          <w:bCs/>
          <w:sz w:val="28"/>
          <w:szCs w:val="28"/>
        </w:rPr>
        <w:t>Next Steps</w:t>
      </w:r>
    </w:p>
    <w:p w14:paraId="2AD88A8F" w14:textId="7A60FCEF" w:rsidR="008F7093" w:rsidRPr="008F7093" w:rsidRDefault="008F7093" w:rsidP="008F7093">
      <w:pPr>
        <w:pStyle w:val="ListParagraph"/>
        <w:numPr>
          <w:ilvl w:val="0"/>
          <w:numId w:val="1"/>
        </w:numPr>
        <w:spacing w:after="0" w:line="240" w:lineRule="auto"/>
      </w:pPr>
      <w:r w:rsidRPr="008F7093">
        <w:t xml:space="preserve">Complete same-day actions for P013, P017, and P018; complete 72-hour actions for P002, </w:t>
      </w:r>
      <w:r w:rsidR="003231F1">
        <w:t>and</w:t>
      </w:r>
      <w:r w:rsidRPr="008F7093">
        <w:t xml:space="preserve"> P011</w:t>
      </w:r>
      <w:r w:rsidR="003231F1">
        <w:t>; complete 1-week follow-up for P008</w:t>
      </w:r>
      <w:r w:rsidRPr="008F7093">
        <w:t xml:space="preserve"> and P012.</w:t>
      </w:r>
    </w:p>
    <w:p w14:paraId="00A3A272" w14:textId="5A567F64" w:rsidR="008F7093" w:rsidRPr="008F7093" w:rsidRDefault="008F7093" w:rsidP="008F7093">
      <w:pPr>
        <w:pStyle w:val="ListParagraph"/>
        <w:numPr>
          <w:ilvl w:val="0"/>
          <w:numId w:val="1"/>
        </w:numPr>
        <w:spacing w:after="0" w:line="240" w:lineRule="auto"/>
      </w:pPr>
      <w:r w:rsidRPr="008F7093">
        <w:t>Do not finalize medication lists when discharge, specialist, facility, or patient-reported use remains unresolved.</w:t>
      </w:r>
    </w:p>
    <w:p w14:paraId="002FBD58" w14:textId="2F8E5728" w:rsidR="00630E18" w:rsidRPr="008F7093" w:rsidRDefault="00B829A2" w:rsidP="003231F1">
      <w:pPr>
        <w:pStyle w:val="ListParagraph"/>
        <w:numPr>
          <w:ilvl w:val="0"/>
          <w:numId w:val="1"/>
        </w:numPr>
        <w:spacing w:after="0" w:line="240" w:lineRule="auto"/>
      </w:pPr>
      <w:r>
        <w:t>Document the priority, planned action, monitoring, and responsible service in the tracker.</w:t>
      </w:r>
    </w:p>
    <w:sectPr w:rsidR="00630E18" w:rsidRPr="008F7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E1571"/>
    <w:multiLevelType w:val="hybridMultilevel"/>
    <w:tmpl w:val="98AEF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43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480"/>
    <w:rsid w:val="001B3EEB"/>
    <w:rsid w:val="002A3481"/>
    <w:rsid w:val="003231F1"/>
    <w:rsid w:val="00404231"/>
    <w:rsid w:val="00445480"/>
    <w:rsid w:val="005C4FEA"/>
    <w:rsid w:val="00630E18"/>
    <w:rsid w:val="00663C9D"/>
    <w:rsid w:val="00864884"/>
    <w:rsid w:val="008F7093"/>
    <w:rsid w:val="00A64940"/>
    <w:rsid w:val="00B829A2"/>
    <w:rsid w:val="00E2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31354"/>
  <w15:chartTrackingRefBased/>
  <w15:docId w15:val="{77855940-3EAE-4794-AEBB-31FDB22E2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4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3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Bhavin Patel</dc:creator>
  <cp:keywords/>
  <dc:description/>
  <cp:lastModifiedBy>Bhavin Patel</cp:lastModifiedBy>
  <cp:revision>6</cp:revision>
  <dcterms:created xsi:type="dcterms:W3CDTF">2026-07-10T01:10:00Z</dcterms:created>
  <dcterms:modified xsi:type="dcterms:W3CDTF">2026-07-10T03:38:00Z</dcterms:modified>
</cp:coreProperties>
</file>