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90B1" w14:textId="247A85D1" w:rsidR="00CF43C8" w:rsidRPr="00CF43C8" w:rsidRDefault="00CF43C8">
      <w:pPr>
        <w:rPr>
          <w:rFonts w:ascii="Aptos Narrow" w:hAnsi="Aptos Narrow"/>
          <w:sz w:val="22"/>
          <w:szCs w:val="22"/>
        </w:rPr>
      </w:pPr>
      <w:r w:rsidRPr="00CF43C8">
        <w:rPr>
          <w:rFonts w:ascii="Aptos Narrow" w:hAnsi="Aptos Narrow"/>
          <w:sz w:val="22"/>
          <w:szCs w:val="22"/>
        </w:rPr>
        <w:t>Updated rules for calculating risk exposure</w:t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1620"/>
        <w:gridCol w:w="1440"/>
        <w:gridCol w:w="1620"/>
        <w:gridCol w:w="2070"/>
        <w:gridCol w:w="1494"/>
        <w:gridCol w:w="1386"/>
      </w:tblGrid>
      <w:tr w:rsidR="00CF43C8" w:rsidRPr="00CF43C8" w14:paraId="09C2F94E" w14:textId="77777777" w:rsidTr="00CF43C8">
        <w:trPr>
          <w:trHeight w:val="290"/>
        </w:trPr>
        <w:tc>
          <w:tcPr>
            <w:tcW w:w="1620" w:type="dxa"/>
            <w:shd w:val="clear" w:color="auto" w:fill="DAE9F7" w:themeFill="text2" w:themeFillTint="1A"/>
            <w:noWrap/>
            <w:hideMark/>
          </w:tcPr>
          <w:p w14:paraId="52E70BAA" w14:textId="77777777" w:rsidR="00CF43C8" w:rsidRPr="00CF43C8" w:rsidRDefault="00CF43C8" w:rsidP="00CF43C8">
            <w:pPr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  <w:t>Likelihood</w:t>
            </w:r>
          </w:p>
        </w:tc>
        <w:tc>
          <w:tcPr>
            <w:tcW w:w="1440" w:type="dxa"/>
            <w:shd w:val="clear" w:color="auto" w:fill="DAE9F7" w:themeFill="text2" w:themeFillTint="1A"/>
            <w:noWrap/>
            <w:hideMark/>
          </w:tcPr>
          <w:p w14:paraId="04B7694E" w14:textId="77777777" w:rsidR="00CF43C8" w:rsidRPr="00CF43C8" w:rsidRDefault="00CF43C8" w:rsidP="00CF43C8">
            <w:pPr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  <w:t>Impact</w:t>
            </w:r>
          </w:p>
        </w:tc>
        <w:tc>
          <w:tcPr>
            <w:tcW w:w="1620" w:type="dxa"/>
            <w:shd w:val="clear" w:color="auto" w:fill="DAE9F7" w:themeFill="text2" w:themeFillTint="1A"/>
            <w:noWrap/>
            <w:hideMark/>
          </w:tcPr>
          <w:p w14:paraId="0B4F8212" w14:textId="77777777" w:rsidR="00CF43C8" w:rsidRPr="00CF43C8" w:rsidRDefault="00CF43C8" w:rsidP="00CF43C8">
            <w:pPr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  <w:t>Risk Exposure as per old guidelines</w:t>
            </w:r>
          </w:p>
        </w:tc>
        <w:tc>
          <w:tcPr>
            <w:tcW w:w="2070" w:type="dxa"/>
            <w:shd w:val="clear" w:color="auto" w:fill="DAE9F7" w:themeFill="text2" w:themeFillTint="1A"/>
            <w:noWrap/>
            <w:hideMark/>
          </w:tcPr>
          <w:p w14:paraId="043DB0E1" w14:textId="77777777" w:rsidR="00CF43C8" w:rsidRPr="00CF43C8" w:rsidRDefault="00CF43C8" w:rsidP="00CF43C8">
            <w:pPr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  <w:t>Action Status</w:t>
            </w:r>
          </w:p>
        </w:tc>
        <w:tc>
          <w:tcPr>
            <w:tcW w:w="1494" w:type="dxa"/>
            <w:shd w:val="clear" w:color="auto" w:fill="DAE9F7" w:themeFill="text2" w:themeFillTint="1A"/>
            <w:noWrap/>
            <w:hideMark/>
          </w:tcPr>
          <w:p w14:paraId="4DB74E07" w14:textId="77777777" w:rsidR="00CF43C8" w:rsidRPr="00CF43C8" w:rsidRDefault="00CF43C8" w:rsidP="00CF43C8">
            <w:pPr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  <w:t>Departmental escalation</w:t>
            </w:r>
          </w:p>
        </w:tc>
        <w:tc>
          <w:tcPr>
            <w:tcW w:w="1386" w:type="dxa"/>
            <w:shd w:val="clear" w:color="auto" w:fill="DAE9F7" w:themeFill="text2" w:themeFillTint="1A"/>
            <w:noWrap/>
            <w:hideMark/>
          </w:tcPr>
          <w:p w14:paraId="0C39356B" w14:textId="77777777" w:rsidR="00CF43C8" w:rsidRPr="00CF43C8" w:rsidRDefault="00CF43C8" w:rsidP="00CF43C8">
            <w:pPr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Calibri"/>
                <w:b/>
                <w:bCs/>
                <w:kern w:val="0"/>
                <w:sz w:val="22"/>
                <w:szCs w:val="22"/>
                <w14:ligatures w14:val="none"/>
              </w:rPr>
              <w:t>Updated Risk Exposure</w:t>
            </w:r>
          </w:p>
        </w:tc>
      </w:tr>
      <w:tr w:rsidR="00CF43C8" w:rsidRPr="00CF43C8" w14:paraId="71E79343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17E2D7FE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440" w:type="dxa"/>
            <w:noWrap/>
            <w:hideMark/>
          </w:tcPr>
          <w:p w14:paraId="7484D6A7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620" w:type="dxa"/>
            <w:noWrap/>
            <w:hideMark/>
          </w:tcPr>
          <w:p w14:paraId="272BCB64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2070" w:type="dxa"/>
            <w:noWrap/>
            <w:hideMark/>
          </w:tcPr>
          <w:p w14:paraId="56268595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1EDF7F32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386" w:type="dxa"/>
            <w:noWrap/>
            <w:hideMark/>
          </w:tcPr>
          <w:p w14:paraId="7F1F6160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="00CF43C8" w:rsidRPr="00CF43C8" w14:paraId="15DCDC96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5C09670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440" w:type="dxa"/>
            <w:noWrap/>
            <w:hideMark/>
          </w:tcPr>
          <w:p w14:paraId="6FC34559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620" w:type="dxa"/>
            <w:noWrap/>
            <w:hideMark/>
          </w:tcPr>
          <w:p w14:paraId="31484931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2070" w:type="dxa"/>
            <w:noWrap/>
            <w:hideMark/>
          </w:tcPr>
          <w:p w14:paraId="3D2C98F8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72F53676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86" w:type="dxa"/>
            <w:noWrap/>
            <w:hideMark/>
          </w:tcPr>
          <w:p w14:paraId="44373AF0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</w:tr>
      <w:tr w:rsidR="00CF43C8" w:rsidRPr="00CF43C8" w14:paraId="3A59DE98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55072056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High</w:t>
            </w:r>
          </w:p>
        </w:tc>
        <w:tc>
          <w:tcPr>
            <w:tcW w:w="1440" w:type="dxa"/>
            <w:noWrap/>
            <w:hideMark/>
          </w:tcPr>
          <w:p w14:paraId="0D7065C7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620" w:type="dxa"/>
            <w:noWrap/>
            <w:hideMark/>
          </w:tcPr>
          <w:p w14:paraId="2BFD314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2070" w:type="dxa"/>
            <w:noWrap/>
            <w:hideMark/>
          </w:tcPr>
          <w:p w14:paraId="2B591EAE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14FACC89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386" w:type="dxa"/>
            <w:noWrap/>
            <w:hideMark/>
          </w:tcPr>
          <w:p w14:paraId="748556A5" w14:textId="7F6A5A7C" w:rsidR="00CF43C8" w:rsidRPr="00CF43C8" w:rsidRDefault="000C729A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="00CF43C8" w:rsidRPr="00CF43C8" w14:paraId="60AD1CF8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24BD415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High</w:t>
            </w:r>
          </w:p>
        </w:tc>
        <w:tc>
          <w:tcPr>
            <w:tcW w:w="1440" w:type="dxa"/>
            <w:noWrap/>
            <w:hideMark/>
          </w:tcPr>
          <w:p w14:paraId="0B8165F4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620" w:type="dxa"/>
            <w:noWrap/>
            <w:hideMark/>
          </w:tcPr>
          <w:p w14:paraId="7E30FAF5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2070" w:type="dxa"/>
            <w:noWrap/>
            <w:hideMark/>
          </w:tcPr>
          <w:p w14:paraId="3818877C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20126AE7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86" w:type="dxa"/>
            <w:noWrap/>
            <w:hideMark/>
          </w:tcPr>
          <w:p w14:paraId="7D9BE500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</w:tr>
      <w:tr w:rsidR="00CF43C8" w:rsidRPr="00CF43C8" w14:paraId="556D755E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6C3D4C8E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High</w:t>
            </w:r>
          </w:p>
        </w:tc>
        <w:tc>
          <w:tcPr>
            <w:tcW w:w="1440" w:type="dxa"/>
            <w:noWrap/>
            <w:hideMark/>
          </w:tcPr>
          <w:p w14:paraId="06AEC419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High</w:t>
            </w:r>
          </w:p>
        </w:tc>
        <w:tc>
          <w:tcPr>
            <w:tcW w:w="1620" w:type="dxa"/>
            <w:noWrap/>
            <w:hideMark/>
          </w:tcPr>
          <w:p w14:paraId="79A5A4C2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2070" w:type="dxa"/>
            <w:noWrap/>
            <w:hideMark/>
          </w:tcPr>
          <w:p w14:paraId="62AE90B9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5DF2F8EC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386" w:type="dxa"/>
            <w:noWrap/>
            <w:hideMark/>
          </w:tcPr>
          <w:p w14:paraId="4D446F44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</w:tr>
      <w:tr w:rsidR="00CF43C8" w:rsidRPr="00CF43C8" w14:paraId="61BF8C5A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633C860A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Low</w:t>
            </w:r>
          </w:p>
        </w:tc>
        <w:tc>
          <w:tcPr>
            <w:tcW w:w="1440" w:type="dxa"/>
            <w:noWrap/>
            <w:hideMark/>
          </w:tcPr>
          <w:p w14:paraId="23EF273E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High</w:t>
            </w:r>
          </w:p>
        </w:tc>
        <w:tc>
          <w:tcPr>
            <w:tcW w:w="1620" w:type="dxa"/>
            <w:noWrap/>
            <w:hideMark/>
          </w:tcPr>
          <w:p w14:paraId="28C147CC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2070" w:type="dxa"/>
            <w:noWrap/>
            <w:hideMark/>
          </w:tcPr>
          <w:p w14:paraId="19EC2186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12CEBEF1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386" w:type="dxa"/>
            <w:noWrap/>
            <w:hideMark/>
          </w:tcPr>
          <w:p w14:paraId="207FCBF0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</w:tr>
      <w:tr w:rsidR="00CF43C8" w:rsidRPr="00CF43C8" w14:paraId="43E55DF3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0C78548E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Low</w:t>
            </w:r>
          </w:p>
        </w:tc>
        <w:tc>
          <w:tcPr>
            <w:tcW w:w="1440" w:type="dxa"/>
            <w:noWrap/>
            <w:hideMark/>
          </w:tcPr>
          <w:p w14:paraId="7F5088B9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High</w:t>
            </w:r>
          </w:p>
        </w:tc>
        <w:tc>
          <w:tcPr>
            <w:tcW w:w="1620" w:type="dxa"/>
            <w:noWrap/>
            <w:hideMark/>
          </w:tcPr>
          <w:p w14:paraId="4F9A29C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2070" w:type="dxa"/>
            <w:noWrap/>
            <w:hideMark/>
          </w:tcPr>
          <w:p w14:paraId="68427C68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59AB80F0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86" w:type="dxa"/>
            <w:noWrap/>
            <w:hideMark/>
          </w:tcPr>
          <w:p w14:paraId="237E6B41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</w:tr>
      <w:tr w:rsidR="00CF43C8" w:rsidRPr="00CF43C8" w14:paraId="284ACF12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51521C1A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Low</w:t>
            </w:r>
          </w:p>
        </w:tc>
        <w:tc>
          <w:tcPr>
            <w:tcW w:w="1440" w:type="dxa"/>
            <w:noWrap/>
            <w:hideMark/>
          </w:tcPr>
          <w:p w14:paraId="560CEFB4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Low</w:t>
            </w:r>
          </w:p>
        </w:tc>
        <w:tc>
          <w:tcPr>
            <w:tcW w:w="1620" w:type="dxa"/>
            <w:noWrap/>
            <w:hideMark/>
          </w:tcPr>
          <w:p w14:paraId="4954B990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2070" w:type="dxa"/>
            <w:noWrap/>
            <w:hideMark/>
          </w:tcPr>
          <w:p w14:paraId="525F95B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380057F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386" w:type="dxa"/>
            <w:noWrap/>
            <w:hideMark/>
          </w:tcPr>
          <w:p w14:paraId="003C6712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</w:tr>
      <w:tr w:rsidR="00CF43C8" w:rsidRPr="00CF43C8" w14:paraId="11AE2CC6" w14:textId="77777777" w:rsidTr="00CF43C8">
        <w:trPr>
          <w:trHeight w:val="290"/>
        </w:trPr>
        <w:tc>
          <w:tcPr>
            <w:tcW w:w="1620" w:type="dxa"/>
            <w:noWrap/>
            <w:hideMark/>
          </w:tcPr>
          <w:p w14:paraId="58F69B7D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Low</w:t>
            </w:r>
          </w:p>
        </w:tc>
        <w:tc>
          <w:tcPr>
            <w:tcW w:w="1440" w:type="dxa"/>
            <w:noWrap/>
            <w:hideMark/>
          </w:tcPr>
          <w:p w14:paraId="07B7EA3F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 Low</w:t>
            </w:r>
          </w:p>
        </w:tc>
        <w:tc>
          <w:tcPr>
            <w:tcW w:w="1620" w:type="dxa"/>
            <w:noWrap/>
            <w:hideMark/>
          </w:tcPr>
          <w:p w14:paraId="35A23294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2070" w:type="dxa"/>
            <w:noWrap/>
            <w:hideMark/>
          </w:tcPr>
          <w:p w14:paraId="2A7B1A61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 (overdue)</w:t>
            </w:r>
          </w:p>
        </w:tc>
        <w:tc>
          <w:tcPr>
            <w:tcW w:w="1494" w:type="dxa"/>
            <w:noWrap/>
            <w:hideMark/>
          </w:tcPr>
          <w:p w14:paraId="4FAFC112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86" w:type="dxa"/>
            <w:noWrap/>
            <w:hideMark/>
          </w:tcPr>
          <w:p w14:paraId="248EB478" w14:textId="77777777" w:rsidR="00CF43C8" w:rsidRPr="00CF43C8" w:rsidRDefault="00CF43C8" w:rsidP="00CF43C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43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</w:tr>
    </w:tbl>
    <w:p w14:paraId="7D8BE5C9" w14:textId="70FFD87B" w:rsidR="009F25AE" w:rsidRPr="00CF43C8" w:rsidRDefault="00CF43C8">
      <w:pPr>
        <w:rPr>
          <w:rFonts w:ascii="Aptos Narrow" w:hAnsi="Aptos Narrow"/>
          <w:sz w:val="22"/>
          <w:szCs w:val="22"/>
        </w:rPr>
      </w:pPr>
      <w:r w:rsidRPr="00CF43C8">
        <w:rPr>
          <w:rFonts w:ascii="Aptos Narrow" w:hAnsi="Aptos Narrow"/>
          <w:sz w:val="22"/>
          <w:szCs w:val="22"/>
        </w:rPr>
        <w:t>Effective date: January 1, 2026</w:t>
      </w:r>
    </w:p>
    <w:sectPr w:rsidR="009F25AE" w:rsidRPr="00CF43C8" w:rsidSect="0099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8"/>
    <w:rsid w:val="000C729A"/>
    <w:rsid w:val="002F41C8"/>
    <w:rsid w:val="00425533"/>
    <w:rsid w:val="009971E3"/>
    <w:rsid w:val="009B12EA"/>
    <w:rsid w:val="009F25AE"/>
    <w:rsid w:val="00AD40CB"/>
    <w:rsid w:val="00CF43C8"/>
    <w:rsid w:val="00E50BF3"/>
    <w:rsid w:val="00F7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F93E"/>
  <w15:chartTrackingRefBased/>
  <w15:docId w15:val="{BC1A3DEB-6487-4853-9B31-DC877018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Gandhi</dc:creator>
  <cp:keywords/>
  <dc:description/>
  <cp:lastModifiedBy>Varsha Gandhi</cp:lastModifiedBy>
  <cp:revision>3</cp:revision>
  <dcterms:created xsi:type="dcterms:W3CDTF">2026-05-02T03:44:00Z</dcterms:created>
  <dcterms:modified xsi:type="dcterms:W3CDTF">2026-05-02T03:44:00Z</dcterms:modified>
</cp:coreProperties>
</file>