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A2C1" w14:textId="77777777" w:rsidR="006A41A0" w:rsidRDefault="006A41A0" w:rsidP="006A41A0">
      <w:pPr>
        <w:pStyle w:val="Heading1"/>
      </w:pPr>
      <w:r>
        <w:rPr>
          <w:rFonts w:ascii="Verdana" w:eastAsia="Verdana" w:hAnsi="Verdana" w:cs="Verdana"/>
          <w:b/>
          <w:bCs/>
          <w:color w:val="B8860B"/>
          <w:sz w:val="30"/>
          <w:szCs w:val="30"/>
        </w:rPr>
        <w:t>Q4 Exceptions Report</w:t>
      </w:r>
    </w:p>
    <w:p w14:paraId="5EF5AB44" w14:textId="21184374" w:rsidR="006A41A0" w:rsidRDefault="006A41A0" w:rsidP="006A41A0">
      <w:r>
        <w:rPr>
          <w:rFonts w:ascii="Verdana" w:eastAsia="Verdana" w:hAnsi="Verdana" w:cs="Verdana"/>
          <w:i/>
          <w:iCs/>
          <w:color w:val="666666"/>
        </w:rPr>
        <w:t>Apex Components</w:t>
      </w:r>
      <w:r w:rsidR="00B22143">
        <w:rPr>
          <w:rFonts w:ascii="Verdana" w:eastAsia="Verdana" w:hAnsi="Verdana" w:cs="Verdana"/>
          <w:i/>
          <w:iCs/>
          <w:color w:val="666666"/>
        </w:rPr>
        <w:t>, Denver branch</w:t>
      </w:r>
      <w:r>
        <w:rPr>
          <w:rFonts w:ascii="Verdana" w:eastAsia="Verdana" w:hAnsi="Verdana" w:cs="Verdana"/>
          <w:i/>
          <w:iCs/>
          <w:color w:val="666666"/>
        </w:rPr>
        <w:t>. Q4 2025 quote-to-invoice reconciliation, as of December 31, 2025.</w:t>
      </w:r>
    </w:p>
    <w:p w14:paraId="11B831F0" w14:textId="77777777" w:rsidR="006A41A0" w:rsidRDefault="006A41A0" w:rsidP="006A41A0"/>
    <w:p w14:paraId="62607CAF" w14:textId="77777777" w:rsidR="006A41A0" w:rsidRDefault="006A41A0" w:rsidP="006A41A0">
      <w:r>
        <w:rPr>
          <w:rFonts w:ascii="Verdana" w:eastAsia="Verdana" w:hAnsi="Verdana" w:cs="Verdana"/>
          <w:b/>
          <w:bCs/>
          <w:sz w:val="24"/>
          <w:szCs w:val="24"/>
        </w:rPr>
        <w:t>Summary</w:t>
      </w:r>
    </w:p>
    <w:p w14:paraId="2A9C1DC4" w14:textId="77777777" w:rsidR="006A41A0" w:rsidRDefault="006A41A0" w:rsidP="006A41A0">
      <w:r>
        <w:rPr>
          <w:rFonts w:ascii="Verdana" w:eastAsia="Verdana" w:hAnsi="Verdana" w:cs="Verdana"/>
        </w:rPr>
        <w:t xml:space="preserve">The reconciliation covered twelve order lines. Two were set aside before reconciliation: L05 is a no-charge evaluation sample with a $0.00 expected charge, and L08 was </w:t>
      </w:r>
      <w:proofErr w:type="gramStart"/>
      <w:r>
        <w:rPr>
          <w:rFonts w:ascii="Verdana" w:eastAsia="Verdana" w:hAnsi="Verdana" w:cs="Verdana"/>
        </w:rPr>
        <w:t>on</w:t>
      </w:r>
      <w:proofErr w:type="gramEnd"/>
      <w:r>
        <w:rPr>
          <w:rFonts w:ascii="Verdana" w:eastAsia="Verdana" w:hAnsi="Verdana" w:cs="Verdana"/>
        </w:rPr>
        <w:t xml:space="preserve"> </w:t>
      </w:r>
      <w:proofErr w:type="gramStart"/>
      <w:r>
        <w:rPr>
          <w:rFonts w:ascii="Verdana" w:eastAsia="Verdana" w:hAnsi="Verdana" w:cs="Verdana"/>
        </w:rPr>
        <w:t>backorder</w:t>
      </w:r>
      <w:proofErr w:type="gramEnd"/>
      <w:r>
        <w:rPr>
          <w:rFonts w:ascii="Verdana" w:eastAsia="Verdana" w:hAnsi="Verdana" w:cs="Verdana"/>
        </w:rPr>
        <w:t xml:space="preserve"> with no ship date and was not invoiced this quarter. Across the ten reconciled lines, total expected charges were </w:t>
      </w:r>
      <w:r>
        <w:rPr>
          <w:rFonts w:ascii="Verdana" w:eastAsia="Verdana" w:hAnsi="Verdana" w:cs="Verdana"/>
          <w:b/>
          <w:bCs/>
        </w:rPr>
        <w:t>$20,712.46</w:t>
      </w:r>
      <w:r>
        <w:rPr>
          <w:rFonts w:ascii="Verdana" w:eastAsia="Verdana" w:hAnsi="Verdana" w:cs="Verdana"/>
        </w:rPr>
        <w:t xml:space="preserve">, total invoiced was </w:t>
      </w:r>
      <w:r>
        <w:rPr>
          <w:rFonts w:ascii="Verdana" w:eastAsia="Verdana" w:hAnsi="Verdana" w:cs="Verdana"/>
          <w:b/>
          <w:bCs/>
        </w:rPr>
        <w:t>$20,777.46</w:t>
      </w:r>
      <w:r>
        <w:rPr>
          <w:rFonts w:ascii="Verdana" w:eastAsia="Verdana" w:hAnsi="Verdana" w:cs="Verdana"/>
        </w:rPr>
        <w:t xml:space="preserve">, and the net variance was </w:t>
      </w:r>
      <w:r>
        <w:rPr>
          <w:rFonts w:ascii="Verdana" w:eastAsia="Verdana" w:hAnsi="Verdana" w:cs="Verdana"/>
          <w:b/>
          <w:bCs/>
        </w:rPr>
        <w:t>+$65.00</w:t>
      </w:r>
      <w:r>
        <w:rPr>
          <w:rFonts w:ascii="Verdana" w:eastAsia="Verdana" w:hAnsi="Verdana" w:cs="Verdana"/>
        </w:rPr>
        <w:t xml:space="preserve">. Total surcharge recovered was </w:t>
      </w:r>
      <w:r>
        <w:rPr>
          <w:rFonts w:ascii="Verdana" w:eastAsia="Verdana" w:hAnsi="Verdana" w:cs="Verdana"/>
          <w:b/>
          <w:bCs/>
        </w:rPr>
        <w:t>$582.51</w:t>
      </w:r>
      <w:r>
        <w:rPr>
          <w:rFonts w:ascii="Verdana" w:eastAsia="Verdana" w:hAnsi="Verdana" w:cs="Verdana"/>
        </w:rPr>
        <w:t xml:space="preserve">, and the average variance per reconciled line was </w:t>
      </w:r>
      <w:r>
        <w:rPr>
          <w:rFonts w:ascii="Verdana" w:eastAsia="Verdana" w:hAnsi="Verdana" w:cs="Verdana"/>
          <w:b/>
          <w:bCs/>
        </w:rPr>
        <w:t>+$6.50</w:t>
      </w:r>
      <w:r>
        <w:rPr>
          <w:rFonts w:ascii="Verdana" w:eastAsia="Verdana" w:hAnsi="Verdana" w:cs="Verdana"/>
        </w:rPr>
        <w:t>.</w:t>
      </w:r>
    </w:p>
    <w:p w14:paraId="422EBA06" w14:textId="77777777" w:rsidR="006A41A0" w:rsidRDefault="006A41A0" w:rsidP="006A41A0"/>
    <w:p w14:paraId="15A35F82" w14:textId="77777777" w:rsidR="006A41A0" w:rsidRDefault="006A41A0" w:rsidP="006A41A0">
      <w:r>
        <w:rPr>
          <w:rFonts w:ascii="Verdana" w:eastAsia="Verdana" w:hAnsi="Verdana" w:cs="Verdana"/>
          <w:b/>
          <w:bCs/>
          <w:sz w:val="24"/>
          <w:szCs w:val="24"/>
        </w:rPr>
        <w:t>Lines flagged for review</w:t>
      </w:r>
    </w:p>
    <w:p w14:paraId="3793C436" w14:textId="5B7E97E6" w:rsidR="006A41A0" w:rsidRDefault="006A41A0" w:rsidP="006A41A0">
      <w:r>
        <w:rPr>
          <w:rFonts w:ascii="Verdana" w:eastAsia="Verdana" w:hAnsi="Verdana" w:cs="Verdana"/>
        </w:rPr>
        <w:t xml:space="preserve">Three lines carried a variance strictly greater than the $25.00 threshold and are flagged. L12 </w:t>
      </w:r>
      <w:r w:rsidR="00380D62">
        <w:rPr>
          <w:rFonts w:ascii="Verdana" w:eastAsia="Verdana" w:hAnsi="Verdana" w:cs="Verdana"/>
        </w:rPr>
        <w:t>is</w:t>
      </w:r>
      <w:r>
        <w:rPr>
          <w:rFonts w:ascii="Verdana" w:eastAsia="Verdana" w:hAnsi="Verdana" w:cs="Verdana"/>
        </w:rPr>
        <w:t xml:space="preserve"> at exactly positive $25.00, which does not exceed the threshold, so it is not flagged. The remaining reconciled lines matched their expected charge.</w:t>
      </w:r>
    </w:p>
    <w:p w14:paraId="3ADB181F" w14:textId="77777777" w:rsidR="006A41A0" w:rsidRDefault="006A41A0" w:rsidP="006A41A0"/>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1408"/>
        <w:gridCol w:w="1464"/>
        <w:gridCol w:w="1463"/>
        <w:gridCol w:w="3434"/>
      </w:tblGrid>
      <w:tr w:rsidR="00380D62" w14:paraId="209D8146" w14:textId="77777777" w:rsidTr="00380D62">
        <w:trPr>
          <w:tblHeader/>
        </w:trPr>
        <w:tc>
          <w:tcPr>
            <w:tcW w:w="1247" w:type="dxa"/>
            <w:shd w:val="clear" w:color="auto" w:fill="2B2B2B"/>
          </w:tcPr>
          <w:p w14:paraId="02392233" w14:textId="77777777" w:rsidR="00380D62" w:rsidRDefault="00380D62" w:rsidP="004D1972">
            <w:r>
              <w:rPr>
                <w:rFonts w:ascii="Verdana" w:eastAsia="Verdana" w:hAnsi="Verdana" w:cs="Verdana"/>
                <w:b/>
                <w:bCs/>
                <w:color w:val="F5C24B"/>
                <w:sz w:val="18"/>
                <w:szCs w:val="18"/>
              </w:rPr>
              <w:t>Line</w:t>
            </w:r>
          </w:p>
        </w:tc>
        <w:tc>
          <w:tcPr>
            <w:tcW w:w="1408" w:type="dxa"/>
            <w:shd w:val="clear" w:color="auto" w:fill="2B2B2B"/>
          </w:tcPr>
          <w:p w14:paraId="6AB66C36" w14:textId="77777777" w:rsidR="00380D62" w:rsidRDefault="00380D62" w:rsidP="004D1972">
            <w:pPr>
              <w:jc w:val="center"/>
              <w:rPr>
                <w:rFonts w:ascii="Verdana" w:eastAsia="Verdana" w:hAnsi="Verdana" w:cs="Verdana"/>
                <w:b/>
                <w:bCs/>
                <w:color w:val="F5C24B"/>
                <w:sz w:val="18"/>
                <w:szCs w:val="18"/>
              </w:rPr>
            </w:pPr>
          </w:p>
        </w:tc>
        <w:tc>
          <w:tcPr>
            <w:tcW w:w="1464" w:type="dxa"/>
            <w:shd w:val="clear" w:color="auto" w:fill="2B2B2B"/>
          </w:tcPr>
          <w:p w14:paraId="64E1B632" w14:textId="4976B97A" w:rsidR="00380D62" w:rsidRDefault="00380D62" w:rsidP="004D1972">
            <w:pPr>
              <w:jc w:val="center"/>
            </w:pPr>
            <w:r>
              <w:rPr>
                <w:rFonts w:ascii="Verdana" w:eastAsia="Verdana" w:hAnsi="Verdana" w:cs="Verdana"/>
                <w:b/>
                <w:bCs/>
                <w:color w:val="F5C24B"/>
                <w:sz w:val="18"/>
                <w:szCs w:val="18"/>
              </w:rPr>
              <w:t>Variance</w:t>
            </w:r>
          </w:p>
        </w:tc>
        <w:tc>
          <w:tcPr>
            <w:tcW w:w="1463" w:type="dxa"/>
            <w:shd w:val="clear" w:color="auto" w:fill="2B2B2B"/>
          </w:tcPr>
          <w:p w14:paraId="42179ACC" w14:textId="77777777" w:rsidR="00380D62" w:rsidRDefault="00380D62" w:rsidP="004D1972">
            <w:pPr>
              <w:jc w:val="center"/>
            </w:pPr>
            <w:r>
              <w:rPr>
                <w:rFonts w:ascii="Verdana" w:eastAsia="Verdana" w:hAnsi="Verdana" w:cs="Verdana"/>
                <w:b/>
                <w:bCs/>
                <w:color w:val="F5C24B"/>
                <w:sz w:val="18"/>
                <w:szCs w:val="18"/>
              </w:rPr>
              <w:t>Variance %</w:t>
            </w:r>
          </w:p>
        </w:tc>
        <w:tc>
          <w:tcPr>
            <w:tcW w:w="3434" w:type="dxa"/>
            <w:shd w:val="clear" w:color="auto" w:fill="2B2B2B"/>
          </w:tcPr>
          <w:p w14:paraId="1E9A4D8B" w14:textId="77777777" w:rsidR="00380D62" w:rsidRDefault="00380D62" w:rsidP="004D1972">
            <w:pPr>
              <w:jc w:val="center"/>
            </w:pPr>
            <w:r>
              <w:rPr>
                <w:rFonts w:ascii="Verdana" w:eastAsia="Verdana" w:hAnsi="Verdana" w:cs="Verdana"/>
                <w:b/>
                <w:bCs/>
                <w:color w:val="F5C24B"/>
                <w:sz w:val="18"/>
                <w:szCs w:val="18"/>
              </w:rPr>
              <w:t>Reason flagged</w:t>
            </w:r>
          </w:p>
        </w:tc>
      </w:tr>
      <w:tr w:rsidR="00380D62" w14:paraId="3DBA4327" w14:textId="77777777" w:rsidTr="00380D62">
        <w:tc>
          <w:tcPr>
            <w:tcW w:w="1247" w:type="dxa"/>
          </w:tcPr>
          <w:p w14:paraId="5575219C" w14:textId="77777777" w:rsidR="00380D62" w:rsidRDefault="00380D62" w:rsidP="004D1972">
            <w:r>
              <w:rPr>
                <w:rFonts w:ascii="Verdana" w:eastAsia="Verdana" w:hAnsi="Verdana" w:cs="Verdana"/>
                <w:b/>
                <w:bCs/>
                <w:sz w:val="18"/>
                <w:szCs w:val="18"/>
              </w:rPr>
              <w:t>L01</w:t>
            </w:r>
          </w:p>
        </w:tc>
        <w:tc>
          <w:tcPr>
            <w:tcW w:w="1408" w:type="dxa"/>
          </w:tcPr>
          <w:p w14:paraId="2B07D175" w14:textId="77777777" w:rsidR="00380D62" w:rsidRDefault="00380D62" w:rsidP="004D1972">
            <w:pPr>
              <w:jc w:val="center"/>
              <w:rPr>
                <w:rFonts w:ascii="Verdana" w:eastAsia="Verdana" w:hAnsi="Verdana" w:cs="Verdana"/>
                <w:sz w:val="18"/>
                <w:szCs w:val="18"/>
              </w:rPr>
            </w:pPr>
          </w:p>
        </w:tc>
        <w:tc>
          <w:tcPr>
            <w:tcW w:w="1464" w:type="dxa"/>
          </w:tcPr>
          <w:p w14:paraId="09974CF2" w14:textId="507170F9" w:rsidR="00380D62" w:rsidRDefault="00380D62" w:rsidP="004D1972">
            <w:pPr>
              <w:jc w:val="center"/>
            </w:pPr>
            <w:r>
              <w:rPr>
                <w:rFonts w:ascii="Verdana" w:eastAsia="Verdana" w:hAnsi="Verdana" w:cs="Verdana"/>
                <w:sz w:val="18"/>
                <w:szCs w:val="18"/>
              </w:rPr>
              <w:t>-$27.00</w:t>
            </w:r>
          </w:p>
        </w:tc>
        <w:tc>
          <w:tcPr>
            <w:tcW w:w="1463" w:type="dxa"/>
          </w:tcPr>
          <w:p w14:paraId="0C6F8947" w14:textId="77777777" w:rsidR="00380D62" w:rsidRDefault="00380D62" w:rsidP="004D1972">
            <w:pPr>
              <w:jc w:val="center"/>
            </w:pPr>
            <w:r>
              <w:rPr>
                <w:rFonts w:ascii="Verdana" w:eastAsia="Verdana" w:hAnsi="Verdana" w:cs="Verdana"/>
                <w:sz w:val="18"/>
                <w:szCs w:val="18"/>
              </w:rPr>
              <w:t>-7.26%</w:t>
            </w:r>
          </w:p>
        </w:tc>
        <w:tc>
          <w:tcPr>
            <w:tcW w:w="3434" w:type="dxa"/>
          </w:tcPr>
          <w:p w14:paraId="2DF22676" w14:textId="77777777" w:rsidR="00380D62" w:rsidRDefault="00380D62" w:rsidP="004D1972">
            <w:r>
              <w:rPr>
                <w:rFonts w:ascii="Verdana" w:eastAsia="Verdana" w:hAnsi="Verdana" w:cs="Verdana"/>
                <w:sz w:val="18"/>
                <w:szCs w:val="18"/>
              </w:rPr>
              <w:t>Capacitor line billed below the expected charge by more than the $25.00 threshold. Four reels at 2,500 pieces each is 10,000 pieces, priced at the 10,000+ tier, net of the 0.85 account discount, plus the $15.00 RoHS handling.</w:t>
            </w:r>
          </w:p>
        </w:tc>
      </w:tr>
      <w:tr w:rsidR="00380D62" w14:paraId="6E4EEFFD" w14:textId="77777777" w:rsidTr="00380D62">
        <w:tc>
          <w:tcPr>
            <w:tcW w:w="1247" w:type="dxa"/>
          </w:tcPr>
          <w:p w14:paraId="2DAEF12E" w14:textId="77777777" w:rsidR="00380D62" w:rsidRDefault="00380D62" w:rsidP="004D1972">
            <w:r>
              <w:rPr>
                <w:rFonts w:ascii="Verdana" w:eastAsia="Verdana" w:hAnsi="Verdana" w:cs="Verdana"/>
                <w:b/>
                <w:bCs/>
                <w:sz w:val="18"/>
                <w:szCs w:val="18"/>
              </w:rPr>
              <w:t>L06</w:t>
            </w:r>
          </w:p>
        </w:tc>
        <w:tc>
          <w:tcPr>
            <w:tcW w:w="1408" w:type="dxa"/>
          </w:tcPr>
          <w:p w14:paraId="6BEED55A" w14:textId="77777777" w:rsidR="00380D62" w:rsidRDefault="00380D62" w:rsidP="004D1972">
            <w:pPr>
              <w:jc w:val="center"/>
              <w:rPr>
                <w:rFonts w:ascii="Verdana" w:eastAsia="Verdana" w:hAnsi="Verdana" w:cs="Verdana"/>
                <w:sz w:val="18"/>
                <w:szCs w:val="18"/>
              </w:rPr>
            </w:pPr>
          </w:p>
        </w:tc>
        <w:tc>
          <w:tcPr>
            <w:tcW w:w="1464" w:type="dxa"/>
          </w:tcPr>
          <w:p w14:paraId="2B674C87" w14:textId="4756E728" w:rsidR="00380D62" w:rsidRDefault="00380D62" w:rsidP="004D1972">
            <w:pPr>
              <w:jc w:val="center"/>
            </w:pPr>
            <w:r>
              <w:rPr>
                <w:rFonts w:ascii="Verdana" w:eastAsia="Verdana" w:hAnsi="Verdana" w:cs="Verdana"/>
                <w:sz w:val="18"/>
                <w:szCs w:val="18"/>
              </w:rPr>
              <w:t>+$108.00</w:t>
            </w:r>
          </w:p>
        </w:tc>
        <w:tc>
          <w:tcPr>
            <w:tcW w:w="1463" w:type="dxa"/>
          </w:tcPr>
          <w:p w14:paraId="34EF9037" w14:textId="77777777" w:rsidR="00380D62" w:rsidRDefault="00380D62" w:rsidP="004D1972">
            <w:pPr>
              <w:jc w:val="center"/>
            </w:pPr>
            <w:r>
              <w:rPr>
                <w:rFonts w:ascii="Verdana" w:eastAsia="Verdana" w:hAnsi="Verdana" w:cs="Verdana"/>
                <w:sz w:val="18"/>
                <w:szCs w:val="18"/>
              </w:rPr>
              <w:t>+3.61%</w:t>
            </w:r>
          </w:p>
        </w:tc>
        <w:tc>
          <w:tcPr>
            <w:tcW w:w="3434" w:type="dxa"/>
          </w:tcPr>
          <w:p w14:paraId="657C5828" w14:textId="77777777" w:rsidR="00380D62" w:rsidRDefault="00380D62" w:rsidP="004D1972">
            <w:r>
              <w:rPr>
                <w:rFonts w:ascii="Verdana" w:eastAsia="Verdana" w:hAnsi="Verdana" w:cs="Verdana"/>
                <w:sz w:val="18"/>
                <w:szCs w:val="18"/>
              </w:rPr>
              <w:t xml:space="preserve">Power supply line billed above expected by more than the threshold. 40 units at the 1+ tier </w:t>
            </w:r>
            <w:proofErr w:type="gramStart"/>
            <w:r>
              <w:rPr>
                <w:rFonts w:ascii="Verdana" w:eastAsia="Verdana" w:hAnsi="Verdana" w:cs="Verdana"/>
                <w:sz w:val="18"/>
                <w:szCs w:val="18"/>
              </w:rPr>
              <w:t>net of</w:t>
            </w:r>
            <w:proofErr w:type="gramEnd"/>
            <w:r>
              <w:rPr>
                <w:rFonts w:ascii="Verdana" w:eastAsia="Verdana" w:hAnsi="Verdana" w:cs="Verdana"/>
                <w:sz w:val="18"/>
                <w:szCs w:val="18"/>
              </w:rPr>
              <w:t xml:space="preserve"> discount; no surcharge applies.</w:t>
            </w:r>
          </w:p>
        </w:tc>
      </w:tr>
      <w:tr w:rsidR="00380D62" w14:paraId="757CEB78" w14:textId="77777777" w:rsidTr="00380D62">
        <w:tc>
          <w:tcPr>
            <w:tcW w:w="1247" w:type="dxa"/>
          </w:tcPr>
          <w:p w14:paraId="6559A79B" w14:textId="77777777" w:rsidR="00380D62" w:rsidRDefault="00380D62" w:rsidP="004D1972">
            <w:r>
              <w:rPr>
                <w:rFonts w:ascii="Verdana" w:eastAsia="Verdana" w:hAnsi="Verdana" w:cs="Verdana"/>
                <w:b/>
                <w:bCs/>
                <w:sz w:val="18"/>
                <w:szCs w:val="18"/>
              </w:rPr>
              <w:t>L10</w:t>
            </w:r>
          </w:p>
        </w:tc>
        <w:tc>
          <w:tcPr>
            <w:tcW w:w="1408" w:type="dxa"/>
          </w:tcPr>
          <w:p w14:paraId="6593C498" w14:textId="77777777" w:rsidR="00380D62" w:rsidRDefault="00380D62" w:rsidP="004D1972">
            <w:pPr>
              <w:jc w:val="center"/>
              <w:rPr>
                <w:rFonts w:ascii="Verdana" w:eastAsia="Verdana" w:hAnsi="Verdana" w:cs="Verdana"/>
                <w:sz w:val="18"/>
                <w:szCs w:val="18"/>
              </w:rPr>
            </w:pPr>
          </w:p>
        </w:tc>
        <w:tc>
          <w:tcPr>
            <w:tcW w:w="1464" w:type="dxa"/>
          </w:tcPr>
          <w:p w14:paraId="3B7FD853" w14:textId="0D5734DD" w:rsidR="00380D62" w:rsidRDefault="00380D62" w:rsidP="004D1972">
            <w:pPr>
              <w:jc w:val="center"/>
            </w:pPr>
            <w:r>
              <w:rPr>
                <w:rFonts w:ascii="Verdana" w:eastAsia="Verdana" w:hAnsi="Verdana" w:cs="Verdana"/>
                <w:sz w:val="18"/>
                <w:szCs w:val="18"/>
              </w:rPr>
              <w:t>-$41.00</w:t>
            </w:r>
          </w:p>
        </w:tc>
        <w:tc>
          <w:tcPr>
            <w:tcW w:w="1463" w:type="dxa"/>
          </w:tcPr>
          <w:p w14:paraId="329ABB06" w14:textId="77777777" w:rsidR="00380D62" w:rsidRDefault="00380D62" w:rsidP="004D1972">
            <w:pPr>
              <w:jc w:val="center"/>
            </w:pPr>
            <w:r>
              <w:rPr>
                <w:rFonts w:ascii="Verdana" w:eastAsia="Verdana" w:hAnsi="Verdana" w:cs="Verdana"/>
                <w:sz w:val="18"/>
                <w:szCs w:val="18"/>
              </w:rPr>
              <w:t>-3.18%</w:t>
            </w:r>
          </w:p>
        </w:tc>
        <w:tc>
          <w:tcPr>
            <w:tcW w:w="3434" w:type="dxa"/>
          </w:tcPr>
          <w:p w14:paraId="7505AAF8" w14:textId="77777777" w:rsidR="00380D62" w:rsidRDefault="00380D62" w:rsidP="004D1972">
            <w:r>
              <w:rPr>
                <w:rFonts w:ascii="Verdana" w:eastAsia="Verdana" w:hAnsi="Verdana" w:cs="Verdana"/>
                <w:sz w:val="18"/>
                <w:szCs w:val="18"/>
              </w:rPr>
              <w:t>Schottky diode line billed below expected. Two reels at 10,000 pieces each is 20,000 pieces at the 10,000+ tier, net of discount, plus $15.00 RoHS handling.</w:t>
            </w:r>
          </w:p>
        </w:tc>
      </w:tr>
    </w:tbl>
    <w:p w14:paraId="546252B4" w14:textId="77777777" w:rsidR="006A41A0" w:rsidRDefault="006A41A0" w:rsidP="006A41A0"/>
    <w:p w14:paraId="5B0BA3D2" w14:textId="77777777" w:rsidR="006A41A0" w:rsidRDefault="006A41A0" w:rsidP="006A41A0">
      <w:r>
        <w:rPr>
          <w:rFonts w:ascii="Verdana" w:eastAsia="Verdana" w:hAnsi="Verdana" w:cs="Verdana"/>
          <w:b/>
          <w:bCs/>
          <w:sz w:val="24"/>
          <w:szCs w:val="24"/>
        </w:rPr>
        <w:t>Adjustments applied</w:t>
      </w:r>
    </w:p>
    <w:p w14:paraId="6898A6B9" w14:textId="77777777" w:rsidR="006A41A0" w:rsidRDefault="006A41A0" w:rsidP="006A41A0">
      <w:r>
        <w:rPr>
          <w:rFonts w:ascii="Verdana" w:eastAsia="Verdana" w:hAnsi="Verdana" w:cs="Verdana"/>
        </w:rPr>
        <w:t>CONN-USB and MEM-DDR4 lines were priced from the Q4 rider, not the standard price book. L03 used the corrected RFQ quantity of 1,200 pieces, which moves it to the 1000+ tier. Reel orders (L01, L02, L10) were converted to pieces before pricing. L07 used the corrected invoiced amount from the shipments tab rather than the transposed figure on the order sheet. The reverted note on L11 was ignored and its original 1,500 pieces stood, and the L12 PO-note correction did not change its price.</w:t>
      </w:r>
    </w:p>
    <w:p w14:paraId="7AE3AE5E" w14:textId="77777777" w:rsidR="00F86943" w:rsidRDefault="00F86943"/>
    <w:sectPr w:rsidR="00F86943" w:rsidSect="006A41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A0"/>
    <w:rsid w:val="001F3F6C"/>
    <w:rsid w:val="001F763A"/>
    <w:rsid w:val="00326DD4"/>
    <w:rsid w:val="00380D62"/>
    <w:rsid w:val="006A41A0"/>
    <w:rsid w:val="00955BA4"/>
    <w:rsid w:val="00B22143"/>
    <w:rsid w:val="00C465D7"/>
    <w:rsid w:val="00F15CD5"/>
    <w:rsid w:val="00F76EFD"/>
    <w:rsid w:val="00F86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EFF9"/>
  <w15:chartTrackingRefBased/>
  <w15:docId w15:val="{DD78C26A-AEE7-4AD4-B11A-24F3EF26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1A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A41A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A41A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A41A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A41A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A41A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A41A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A41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A41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A41A0"/>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1A0"/>
    <w:rPr>
      <w:rFonts w:eastAsiaTheme="majorEastAsia" w:cstheme="majorBidi"/>
      <w:color w:val="272727" w:themeColor="text1" w:themeTint="D8"/>
    </w:rPr>
  </w:style>
  <w:style w:type="paragraph" w:styleId="Title">
    <w:name w:val="Title"/>
    <w:basedOn w:val="Normal"/>
    <w:next w:val="Normal"/>
    <w:link w:val="TitleChar"/>
    <w:uiPriority w:val="10"/>
    <w:qFormat/>
    <w:rsid w:val="006A41A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A4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1A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A4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1A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A41A0"/>
    <w:rPr>
      <w:i/>
      <w:iCs/>
      <w:color w:val="404040" w:themeColor="text1" w:themeTint="BF"/>
    </w:rPr>
  </w:style>
  <w:style w:type="paragraph" w:styleId="ListParagraph">
    <w:name w:val="List Paragraph"/>
    <w:basedOn w:val="Normal"/>
    <w:uiPriority w:val="34"/>
    <w:qFormat/>
    <w:rsid w:val="006A41A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6A41A0"/>
    <w:rPr>
      <w:i/>
      <w:iCs/>
      <w:color w:val="0F4761" w:themeColor="accent1" w:themeShade="BF"/>
    </w:rPr>
  </w:style>
  <w:style w:type="paragraph" w:styleId="IntenseQuote">
    <w:name w:val="Intense Quote"/>
    <w:basedOn w:val="Normal"/>
    <w:next w:val="Normal"/>
    <w:link w:val="IntenseQuoteChar"/>
    <w:uiPriority w:val="30"/>
    <w:qFormat/>
    <w:rsid w:val="006A41A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A41A0"/>
    <w:rPr>
      <w:i/>
      <w:iCs/>
      <w:color w:val="0F4761" w:themeColor="accent1" w:themeShade="BF"/>
    </w:rPr>
  </w:style>
  <w:style w:type="character" w:styleId="IntenseReference">
    <w:name w:val="Intense Reference"/>
    <w:basedOn w:val="DefaultParagraphFont"/>
    <w:uiPriority w:val="32"/>
    <w:qFormat/>
    <w:rsid w:val="006A4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Desmarais</dc:creator>
  <cp:keywords/>
  <dc:description/>
  <cp:lastModifiedBy>Carson Desmarais</cp:lastModifiedBy>
  <cp:revision>3</cp:revision>
  <dcterms:created xsi:type="dcterms:W3CDTF">2026-07-10T02:52:00Z</dcterms:created>
  <dcterms:modified xsi:type="dcterms:W3CDTF">2026-07-10T20:40:00Z</dcterms:modified>
</cp:coreProperties>
</file>