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b/>
          <w:color w:val="1F4D78"/>
          <w:sz w:val="50"/>
        </w:rPr>
        <w:t>Lattice CT Inspection</w:t>
        <w:br/>
        <w:t>Final Technical Submission</w:t>
      </w:r>
    </w:p>
    <w:p>
      <w:pPr>
        <w:spacing w:after="600"/>
        <w:jc w:val="center"/>
      </w:pPr>
      <w:r>
        <w:rPr>
          <w:color w:val="505050"/>
          <w:sz w:val="28"/>
        </w:rPr>
        <w:t>Part 1: Unit-cell segmentation and NDE</w:t>
        <w:br/>
        <w:t>Part 2: Registered 0.5%-missing octet-lattice screening</w:t>
      </w: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E8EEF5"/>
          </w:tcPr>
          <w:p>
            <w:pPr>
              <w:spacing w:after="0"/>
            </w:pPr>
            <w:r/>
            <w:r>
              <w:rPr>
                <w:rFonts w:ascii="Calibri" w:hAnsi="Calibri"/>
                <w:b/>
                <w:color w:val="000000"/>
                <w:sz w:val="18"/>
              </w:rPr>
              <w:t>Submission scope</w:t>
            </w:r>
          </w:p>
        </w:tc>
        <w:tc>
          <w:tcPr>
            <w:tcW w:type="dxa" w:w="6192"/>
            <w:vAlign w:val="center"/>
            <w:shd w:fill="E8EEF5"/>
          </w:tcPr>
          <w:p>
            <w:pPr>
              <w:spacing w:after="0"/>
            </w:pPr>
            <w:r/>
            <w:r>
              <w:rPr>
                <w:rFonts w:ascii="Calibri" w:hAnsi="Calibri"/>
                <w:b/>
                <w:color w:val="000000"/>
                <w:sz w:val="18"/>
              </w:rPr>
              <w:t>Status</w:t>
            </w:r>
          </w:p>
        </w:tc>
      </w:tr>
      <w:tr>
        <w:tc>
          <w:tcPr>
            <w:tcW w:type="dxa" w:w="3024"/>
            <w:vAlign w:val="center"/>
          </w:tcPr>
          <w:p>
            <w:pPr>
              <w:spacing w:after="0"/>
            </w:pPr>
            <w:r/>
            <w:r>
              <w:rPr>
                <w:rFonts w:ascii="Calibri" w:hAnsi="Calibri"/>
                <w:b w:val="0"/>
                <w:sz w:val="18"/>
              </w:rPr>
              <w:t>Part 1</w:t>
            </w:r>
          </w:p>
        </w:tc>
        <w:tc>
          <w:tcPr>
            <w:tcW w:type="dxa" w:w="6192"/>
            <w:vAlign w:val="center"/>
          </w:tcPr>
          <w:p>
            <w:pPr>
              <w:spacing w:after="0"/>
            </w:pPr>
            <w:r/>
            <w:r>
              <w:rPr>
                <w:rFonts w:ascii="Calibri" w:hAnsi="Calibri"/>
                <w:b w:val="0"/>
                <w:sz w:val="18"/>
              </w:rPr>
              <w:t>Completed: threshold optimization, segmentation, skeleton, NDE visual report</w:t>
            </w:r>
          </w:p>
        </w:tc>
      </w:tr>
      <w:tr>
        <w:tc>
          <w:tcPr>
            <w:tcW w:type="dxa" w:w="3024"/>
            <w:vAlign w:val="center"/>
          </w:tcPr>
          <w:p>
            <w:pPr>
              <w:spacing w:after="0"/>
            </w:pPr>
            <w:r/>
            <w:r>
              <w:rPr>
                <w:rFonts w:ascii="Calibri" w:hAnsi="Calibri"/>
                <w:b w:val="0"/>
                <w:sz w:val="18"/>
              </w:rPr>
              <w:t>Part 2</w:t>
            </w:r>
          </w:p>
        </w:tc>
        <w:tc>
          <w:tcPr>
            <w:tcW w:type="dxa" w:w="6192"/>
            <w:vAlign w:val="center"/>
          </w:tcPr>
          <w:p>
            <w:pPr>
              <w:spacing w:after="0"/>
            </w:pPr>
            <w:r/>
            <w:r>
              <w:rPr>
                <w:rFonts w:ascii="Calibri" w:hAnsi="Calibri"/>
                <w:b w:val="0"/>
                <w:sz w:val="18"/>
              </w:rPr>
              <w:t>Completed: registered graph/CT screening and sensitivity analysis</w:t>
            </w:r>
          </w:p>
        </w:tc>
      </w:tr>
      <w:tr>
        <w:tc>
          <w:tcPr>
            <w:tcW w:type="dxa" w:w="3024"/>
            <w:vAlign w:val="center"/>
          </w:tcPr>
          <w:p>
            <w:pPr>
              <w:spacing w:after="0"/>
            </w:pPr>
            <w:r/>
            <w:r>
              <w:rPr>
                <w:rFonts w:ascii="Calibri" w:hAnsi="Calibri"/>
                <w:b w:val="0"/>
                <w:sz w:val="18"/>
              </w:rPr>
              <w:t>Quantitative defect confirmation</w:t>
            </w:r>
          </w:p>
        </w:tc>
        <w:tc>
          <w:tcPr>
            <w:tcW w:type="dxa" w:w="6192"/>
            <w:vAlign w:val="center"/>
          </w:tcPr>
          <w:p>
            <w:pPr>
              <w:spacing w:after="0"/>
            </w:pPr>
            <w:r/>
            <w:r>
              <w:rPr>
                <w:rFonts w:ascii="Calibri" w:hAnsi="Calibri"/>
                <w:b w:val="0"/>
                <w:sz w:val="18"/>
              </w:rPr>
              <w:t>Not supported by available registration evidence; no missing struts confirmed</w:t>
            </w:r>
          </w:p>
        </w:tc>
      </w:tr>
    </w:tbl>
    <w:p>
      <w:pPr>
        <w:spacing w:after="40"/>
      </w:pPr>
    </w:p>
    <w:p>
      <w:pPr>
        <w:spacing w:after="120" w:line="264" w:lineRule="auto"/>
      </w:pPr>
      <w:r>
        <w:t>Prepared from the repository's saved, traceable analysis artifacts. The unregistered STL files were excluded from all quantitative CT comparisons.</w:t>
      </w:r>
    </w:p>
    <w:p>
      <w:r>
        <w:br w:type="page"/>
      </w:r>
    </w:p>
    <w:p>
      <w:pPr>
        <w:pStyle w:val="Heading1"/>
      </w:pPr>
      <w:r>
        <w:t>Executive Summary</w:t>
      </w:r>
    </w:p>
    <w:p>
      <w:pPr>
        <w:spacing w:after="120" w:line="264" w:lineRule="auto"/>
      </w:pPr>
      <w:r>
        <w:t>This submission consolidates the completed Part 1 and Part 2 outputs for the LLNL Data Science Challenge. Part 1 establishes a reproducible segmentation-to-NDE workflow on the unit-cell CT volume. Part 2 evaluates the supplied registered 0.5%-missing octet-lattice CT/JSON pair using centerline tube support and sensitivity checks.</w:t>
      </w:r>
    </w:p>
    <w:tbl>
      <w:tblPr>
        <w:tblStyle w:val="TableGrid"/>
        <w:tblW w:type="auto" w:w="0"/>
        <w:jc w:val="center"/>
        <w:tblLook w:firstColumn="1" w:firstRow="1" w:lastColumn="0" w:lastRow="0" w:noHBand="0" w:noVBand="1" w:val="04A0"/>
      </w:tblPr>
      <w:tblGrid>
        <w:gridCol w:w="3264"/>
        <w:gridCol w:w="3264"/>
        <w:gridCol w:w="3264"/>
      </w:tblGrid>
      <w:tr>
        <w:tc>
          <w:tcPr>
            <w:tcW w:type="dxa" w:w="2520"/>
            <w:vAlign w:val="center"/>
            <w:shd w:fill="E8EEF5"/>
          </w:tcPr>
          <w:p>
            <w:pPr>
              <w:spacing w:after="0"/>
            </w:pPr>
            <w:r/>
            <w:r>
              <w:rPr>
                <w:rFonts w:ascii="Calibri" w:hAnsi="Calibri"/>
                <w:b/>
                <w:color w:val="000000"/>
                <w:sz w:val="18"/>
              </w:rPr>
              <w:t>Finding</w:t>
            </w:r>
          </w:p>
        </w:tc>
        <w:tc>
          <w:tcPr>
            <w:tcW w:type="dxa" w:w="2376"/>
            <w:vAlign w:val="center"/>
            <w:shd w:fill="E8EEF5"/>
          </w:tcPr>
          <w:p>
            <w:pPr>
              <w:spacing w:after="0"/>
            </w:pPr>
            <w:r/>
            <w:r>
              <w:rPr>
                <w:rFonts w:ascii="Calibri" w:hAnsi="Calibri"/>
                <w:b/>
                <w:color w:val="000000"/>
                <w:sz w:val="18"/>
              </w:rPr>
              <w:t>Result</w:t>
            </w:r>
          </w:p>
        </w:tc>
        <w:tc>
          <w:tcPr>
            <w:tcW w:type="dxa" w:w="4320"/>
            <w:vAlign w:val="center"/>
            <w:shd w:fill="E8EEF5"/>
          </w:tcPr>
          <w:p>
            <w:pPr>
              <w:spacing w:after="0"/>
            </w:pPr>
            <w:r/>
            <w:r>
              <w:rPr>
                <w:rFonts w:ascii="Calibri" w:hAnsi="Calibri"/>
                <w:b/>
                <w:color w:val="000000"/>
                <w:sz w:val="18"/>
              </w:rPr>
              <w:t>Interpretation</w:t>
            </w:r>
          </w:p>
        </w:tc>
      </w:tr>
      <w:tr>
        <w:tc>
          <w:tcPr>
            <w:tcW w:type="dxa" w:w="2520"/>
            <w:vAlign w:val="center"/>
          </w:tcPr>
          <w:p>
            <w:pPr>
              <w:spacing w:after="0"/>
            </w:pPr>
            <w:r/>
            <w:r>
              <w:rPr>
                <w:rFonts w:ascii="Calibri" w:hAnsi="Calibri"/>
                <w:b w:val="0"/>
                <w:sz w:val="18"/>
              </w:rPr>
              <w:t>Part 1 selected threshold</w:t>
            </w:r>
          </w:p>
        </w:tc>
        <w:tc>
          <w:tcPr>
            <w:tcW w:type="dxa" w:w="2376"/>
            <w:vAlign w:val="center"/>
          </w:tcPr>
          <w:p>
            <w:pPr>
              <w:spacing w:after="0"/>
            </w:pPr>
            <w:r/>
            <w:r>
              <w:rPr>
                <w:rFonts w:ascii="Calibri" w:hAnsi="Calibri"/>
                <w:b w:val="0"/>
                <w:sz w:val="18"/>
              </w:rPr>
              <w:t>0.005813</w:t>
            </w:r>
          </w:p>
        </w:tc>
        <w:tc>
          <w:tcPr>
            <w:tcW w:type="dxa" w:w="4320"/>
            <w:vAlign w:val="center"/>
          </w:tcPr>
          <w:p>
            <w:pPr>
              <w:spacing w:after="0"/>
            </w:pPr>
            <w:r/>
            <w:r>
              <w:rPr>
                <w:rFonts w:ascii="Calibri" w:hAnsi="Calibri"/>
                <w:b w:val="0"/>
                <w:sz w:val="18"/>
              </w:rPr>
              <w:t>Otsu-selected balance of strut continuity and mask compactness.</w:t>
            </w:r>
          </w:p>
        </w:tc>
      </w:tr>
      <w:tr>
        <w:tc>
          <w:tcPr>
            <w:tcW w:type="dxa" w:w="2520"/>
            <w:vAlign w:val="center"/>
          </w:tcPr>
          <w:p>
            <w:pPr>
              <w:spacing w:after="0"/>
            </w:pPr>
            <w:r/>
            <w:r>
              <w:rPr>
                <w:rFonts w:ascii="Calibri" w:hAnsi="Calibri"/>
                <w:b w:val="0"/>
                <w:sz w:val="18"/>
              </w:rPr>
              <w:t>Part 1 mask</w:t>
            </w:r>
          </w:p>
        </w:tc>
        <w:tc>
          <w:tcPr>
            <w:tcW w:type="dxa" w:w="2376"/>
            <w:vAlign w:val="center"/>
          </w:tcPr>
          <w:p>
            <w:pPr>
              <w:spacing w:after="0"/>
            </w:pPr>
            <w:r/>
            <w:r>
              <w:rPr>
                <w:rFonts w:ascii="Calibri" w:hAnsi="Calibri"/>
                <w:b w:val="0"/>
                <w:sz w:val="18"/>
              </w:rPr>
              <w:t>717,852 voxels (4.2787%)</w:t>
            </w:r>
          </w:p>
        </w:tc>
        <w:tc>
          <w:tcPr>
            <w:tcW w:type="dxa" w:w="4320"/>
            <w:vAlign w:val="center"/>
          </w:tcPr>
          <w:p>
            <w:pPr>
              <w:spacing w:after="0"/>
            </w:pPr>
            <w:r/>
            <w:r>
              <w:rPr>
                <w:rFonts w:ascii="Calibri" w:hAnsi="Calibri"/>
                <w:b w:val="0"/>
                <w:sz w:val="18"/>
              </w:rPr>
              <w:t>Selected mask is shape-compatible with the original 256 x 256 x 256 volume.</w:t>
            </w:r>
          </w:p>
        </w:tc>
      </w:tr>
      <w:tr>
        <w:tc>
          <w:tcPr>
            <w:tcW w:type="dxa" w:w="2520"/>
            <w:vAlign w:val="center"/>
          </w:tcPr>
          <w:p>
            <w:pPr>
              <w:spacing w:after="0"/>
            </w:pPr>
            <w:r/>
            <w:r>
              <w:rPr>
                <w:rFonts w:ascii="Calibri" w:hAnsi="Calibri"/>
                <w:b w:val="0"/>
                <w:sz w:val="18"/>
              </w:rPr>
              <w:t>Part 1 skeleton</w:t>
            </w:r>
          </w:p>
        </w:tc>
        <w:tc>
          <w:tcPr>
            <w:tcW w:type="dxa" w:w="2376"/>
            <w:vAlign w:val="center"/>
          </w:tcPr>
          <w:p>
            <w:pPr>
              <w:spacing w:after="0"/>
            </w:pPr>
            <w:r/>
            <w:r>
              <w:rPr>
                <w:rFonts w:ascii="Calibri" w:hAnsi="Calibri"/>
                <w:b w:val="0"/>
                <w:sz w:val="18"/>
              </w:rPr>
              <w:t>3,182 voxels; 1 component</w:t>
            </w:r>
          </w:p>
        </w:tc>
        <w:tc>
          <w:tcPr>
            <w:tcW w:type="dxa" w:w="4320"/>
            <w:vAlign w:val="center"/>
          </w:tcPr>
          <w:p>
            <w:pPr>
              <w:spacing w:after="0"/>
            </w:pPr>
            <w:r/>
            <w:r>
              <w:rPr>
                <w:rFonts w:ascii="Calibri" w:hAnsi="Calibri"/>
                <w:b w:val="0"/>
                <w:sz w:val="18"/>
              </w:rPr>
              <w:t>Connected unit-cell structural proxy.</w:t>
            </w:r>
          </w:p>
        </w:tc>
      </w:tr>
      <w:tr>
        <w:tc>
          <w:tcPr>
            <w:tcW w:type="dxa" w:w="2520"/>
            <w:vAlign w:val="center"/>
          </w:tcPr>
          <w:p>
            <w:pPr>
              <w:spacing w:after="0"/>
            </w:pPr>
            <w:r/>
            <w:r>
              <w:rPr>
                <w:rFonts w:ascii="Calibri" w:hAnsi="Calibri"/>
                <w:b w:val="0"/>
                <w:sz w:val="18"/>
              </w:rPr>
              <w:t>Part 2 design graph</w:t>
            </w:r>
          </w:p>
        </w:tc>
        <w:tc>
          <w:tcPr>
            <w:tcW w:type="dxa" w:w="2376"/>
            <w:vAlign w:val="center"/>
          </w:tcPr>
          <w:p>
            <w:pPr>
              <w:spacing w:after="0"/>
            </w:pPr>
            <w:r/>
            <w:r>
              <w:rPr>
                <w:rFonts w:ascii="Calibri" w:hAnsi="Calibri"/>
                <w:b w:val="0"/>
                <w:sz w:val="18"/>
              </w:rPr>
              <w:t>18,468 struts; 10,206 junctions</w:t>
            </w:r>
          </w:p>
        </w:tc>
        <w:tc>
          <w:tcPr>
            <w:tcW w:type="dxa" w:w="4320"/>
            <w:vAlign w:val="center"/>
          </w:tcPr>
          <w:p>
            <w:pPr>
              <w:spacing w:after="0"/>
            </w:pPr>
            <w:r/>
            <w:r>
              <w:rPr>
                <w:rFonts w:ascii="Calibri" w:hAnsi="Calibri"/>
                <w:b w:val="0"/>
                <w:sz w:val="18"/>
              </w:rPr>
              <w:t>Supplied registered JSON; used without an STL comparison.</w:t>
            </w:r>
          </w:p>
        </w:tc>
      </w:tr>
      <w:tr>
        <w:tc>
          <w:tcPr>
            <w:tcW w:type="dxa" w:w="2520"/>
            <w:vAlign w:val="center"/>
          </w:tcPr>
          <w:p>
            <w:pPr>
              <w:spacing w:after="0"/>
            </w:pPr>
            <w:r/>
            <w:r>
              <w:rPr>
                <w:rFonts w:ascii="Calibri" w:hAnsi="Calibri"/>
                <w:b w:val="0"/>
                <w:sz w:val="18"/>
              </w:rPr>
              <w:t>Part 2 retained operating point</w:t>
            </w:r>
          </w:p>
        </w:tc>
        <w:tc>
          <w:tcPr>
            <w:tcW w:type="dxa" w:w="2376"/>
            <w:vAlign w:val="center"/>
          </w:tcPr>
          <w:p>
            <w:pPr>
              <w:spacing w:after="0"/>
            </w:pPr>
            <w:r/>
            <w:r>
              <w:rPr>
                <w:rFonts w:ascii="Calibri" w:hAnsi="Calibri"/>
                <w:b w:val="0"/>
                <w:sz w:val="18"/>
              </w:rPr>
              <w:t>Tube radius 2 voxels; threshold 39,725</w:t>
            </w:r>
          </w:p>
        </w:tc>
        <w:tc>
          <w:tcPr>
            <w:tcW w:type="dxa" w:w="4320"/>
            <w:vAlign w:val="center"/>
          </w:tcPr>
          <w:p>
            <w:pPr>
              <w:spacing w:after="0"/>
            </w:pPr>
            <w:r/>
            <w:r>
              <w:rPr>
                <w:rFonts w:ascii="Calibri" w:hAnsi="Calibri"/>
                <w:b w:val="0"/>
                <w:sz w:val="18"/>
              </w:rPr>
              <w:t>Least-flagging candidate setting of the tested radii.</w:t>
            </w:r>
          </w:p>
        </w:tc>
      </w:tr>
      <w:tr>
        <w:tc>
          <w:tcPr>
            <w:tcW w:type="dxa" w:w="2520"/>
            <w:vAlign w:val="center"/>
          </w:tcPr>
          <w:p>
            <w:pPr>
              <w:spacing w:after="0"/>
            </w:pPr>
            <w:r/>
            <w:r>
              <w:rPr>
                <w:rFonts w:ascii="Calibri" w:hAnsi="Calibri"/>
                <w:b w:val="0"/>
                <w:sz w:val="18"/>
              </w:rPr>
              <w:t>Part 2 confirmation result</w:t>
            </w:r>
          </w:p>
        </w:tc>
        <w:tc>
          <w:tcPr>
            <w:tcW w:type="dxa" w:w="2376"/>
            <w:vAlign w:val="center"/>
          </w:tcPr>
          <w:p>
            <w:pPr>
              <w:spacing w:after="0"/>
            </w:pPr>
            <w:r/>
            <w:r>
              <w:rPr>
                <w:rFonts w:ascii="Calibri" w:hAnsi="Calibri"/>
                <w:b w:val="0"/>
                <w:sz w:val="18"/>
              </w:rPr>
              <w:t>0 confirmed missing struts</w:t>
            </w:r>
          </w:p>
        </w:tc>
        <w:tc>
          <w:tcPr>
            <w:tcW w:type="dxa" w:w="4320"/>
            <w:vAlign w:val="center"/>
          </w:tcPr>
          <w:p>
            <w:pPr>
              <w:spacing w:after="0"/>
            </w:pPr>
            <w:r/>
            <w:r>
              <w:rPr>
                <w:rFonts w:ascii="Calibri" w:hAnsi="Calibri"/>
                <w:b w:val="0"/>
                <w:sz w:val="18"/>
              </w:rPr>
              <w:t>Candidate behavior is not stable enough for a physical-defect claim.</w:t>
            </w:r>
          </w:p>
        </w:tc>
      </w:tr>
    </w:tbl>
    <w:p>
      <w:pPr>
        <w:spacing w:after="40"/>
      </w:pPr>
    </w:p>
    <w:p>
      <w:pPr>
        <w:spacing w:after="120" w:line="264" w:lineRule="auto"/>
      </w:pPr>
      <w:r>
        <w:rPr>
          <w:b/>
        </w:rPr>
        <w:t xml:space="preserve">Decision: </w:t>
      </w:r>
      <w:r>
        <w:t>The workflow is complete and auditable. The Part 2 candidate tables are suitable for targeted human review, but they must not be presented as a measured missing-strut count or forced to the nominal approximately 92 removals.</w:t>
      </w:r>
    </w:p>
    <w:p>
      <w:pPr>
        <w:pStyle w:val="Heading1"/>
      </w:pPr>
      <w:r>
        <w:t>1. Objectives and Data</w:t>
      </w:r>
    </w:p>
    <w:p>
      <w:pPr>
        <w:spacing w:after="120" w:line="264" w:lineRule="auto"/>
      </w:pPr>
      <w:r>
        <w:t>The analysis has two linked objectives: (1) construct and document a segmentation, skeletonization, and NDE-report workflow for a unit-cell CT dataset; and (2) screen an aligned octet-lattice specimen for missing or disconnected strut candidates using only the supplied registered CT graph.</w:t>
      </w:r>
    </w:p>
    <w:tbl>
      <w:tblPr>
        <w:tblStyle w:val="TableGrid"/>
        <w:tblW w:type="auto" w:w="0"/>
        <w:jc w:val="center"/>
        <w:tblLook w:firstColumn="1" w:firstRow="1" w:lastColumn="0" w:lastRow="0" w:noHBand="0" w:noVBand="1" w:val="04A0"/>
      </w:tblPr>
      <w:tblGrid>
        <w:gridCol w:w="3264"/>
        <w:gridCol w:w="3264"/>
        <w:gridCol w:w="3264"/>
      </w:tblGrid>
      <w:tr>
        <w:tc>
          <w:tcPr>
            <w:tcW w:type="dxa" w:w="1800"/>
            <w:vAlign w:val="center"/>
            <w:shd w:fill="E8EEF5"/>
          </w:tcPr>
          <w:p>
            <w:pPr>
              <w:spacing w:after="0"/>
            </w:pPr>
            <w:r/>
            <w:r>
              <w:rPr>
                <w:rFonts w:ascii="Calibri" w:hAnsi="Calibri"/>
                <w:b/>
                <w:color w:val="000000"/>
                <w:sz w:val="18"/>
              </w:rPr>
              <w:t>Dataset</w:t>
            </w:r>
          </w:p>
        </w:tc>
        <w:tc>
          <w:tcPr>
            <w:tcW w:type="dxa" w:w="3744"/>
            <w:vAlign w:val="center"/>
            <w:shd w:fill="E8EEF5"/>
          </w:tcPr>
          <w:p>
            <w:pPr>
              <w:spacing w:after="0"/>
            </w:pPr>
            <w:r/>
            <w:r>
              <w:rPr>
                <w:rFonts w:ascii="Calibri" w:hAnsi="Calibri"/>
                <w:b/>
                <w:color w:val="000000"/>
                <w:sz w:val="18"/>
              </w:rPr>
              <w:t>Input</w:t>
            </w:r>
          </w:p>
        </w:tc>
        <w:tc>
          <w:tcPr>
            <w:tcW w:type="dxa" w:w="3672"/>
            <w:vAlign w:val="center"/>
            <w:shd w:fill="E8EEF5"/>
          </w:tcPr>
          <w:p>
            <w:pPr>
              <w:spacing w:after="0"/>
            </w:pPr>
            <w:r/>
            <w:r>
              <w:rPr>
                <w:rFonts w:ascii="Calibri" w:hAnsi="Calibri"/>
                <w:b/>
                <w:color w:val="000000"/>
                <w:sz w:val="18"/>
              </w:rPr>
              <w:t>Use</w:t>
            </w:r>
          </w:p>
        </w:tc>
      </w:tr>
      <w:tr>
        <w:tc>
          <w:tcPr>
            <w:tcW w:type="dxa" w:w="1800"/>
            <w:vAlign w:val="center"/>
          </w:tcPr>
          <w:p>
            <w:pPr>
              <w:spacing w:after="0"/>
            </w:pPr>
            <w:r/>
            <w:r>
              <w:rPr>
                <w:rFonts w:ascii="Calibri" w:hAnsi="Calibri"/>
                <w:b w:val="0"/>
                <w:sz w:val="18"/>
              </w:rPr>
              <w:t>Part 1 unit cell</w:t>
            </w:r>
          </w:p>
        </w:tc>
        <w:tc>
          <w:tcPr>
            <w:tcW w:type="dxa" w:w="3744"/>
            <w:vAlign w:val="center"/>
          </w:tcPr>
          <w:p>
            <w:pPr>
              <w:spacing w:after="0"/>
            </w:pPr>
            <w:r/>
            <w:r>
              <w:rPr>
                <w:rFonts w:ascii="Calibri" w:hAnsi="Calibri"/>
                <w:b w:val="0"/>
                <w:sz w:val="18"/>
              </w:rPr>
              <w:t>data/unitcell/unitcell.npy</w:t>
            </w:r>
          </w:p>
        </w:tc>
        <w:tc>
          <w:tcPr>
            <w:tcW w:type="dxa" w:w="3672"/>
            <w:vAlign w:val="center"/>
          </w:tcPr>
          <w:p>
            <w:pPr>
              <w:spacing w:after="0"/>
            </w:pPr>
            <w:r/>
            <w:r>
              <w:rPr>
                <w:rFonts w:ascii="Calibri" w:hAnsi="Calibri"/>
                <w:b w:val="0"/>
                <w:sz w:val="18"/>
              </w:rPr>
              <w:t>Intensity volume for segmentation and NDE.</w:t>
            </w:r>
          </w:p>
        </w:tc>
      </w:tr>
      <w:tr>
        <w:tc>
          <w:tcPr>
            <w:tcW w:type="dxa" w:w="1800"/>
            <w:vAlign w:val="center"/>
          </w:tcPr>
          <w:p>
            <w:pPr>
              <w:spacing w:after="0"/>
            </w:pPr>
            <w:r/>
            <w:r>
              <w:rPr>
                <w:rFonts w:ascii="Calibri" w:hAnsi="Calibri"/>
                <w:b w:val="0"/>
                <w:sz w:val="18"/>
              </w:rPr>
              <w:t>Part 2 CT</w:t>
            </w:r>
          </w:p>
        </w:tc>
        <w:tc>
          <w:tcPr>
            <w:tcW w:type="dxa" w:w="3744"/>
            <w:vAlign w:val="center"/>
          </w:tcPr>
          <w:p>
            <w:pPr>
              <w:spacing w:after="0"/>
            </w:pPr>
            <w:r/>
            <w:r>
              <w:rPr>
                <w:rFonts w:ascii="Calibri" w:hAnsi="Calibri"/>
                <w:b w:val="0"/>
                <w:sz w:val="18"/>
              </w:rPr>
              <w:t>0.5%-missing TIFF stack, 761 x 815 x 837 uint16</w:t>
            </w:r>
          </w:p>
        </w:tc>
        <w:tc>
          <w:tcPr>
            <w:tcW w:type="dxa" w:w="3672"/>
            <w:vAlign w:val="center"/>
          </w:tcPr>
          <w:p>
            <w:pPr>
              <w:spacing w:after="0"/>
            </w:pPr>
            <w:r/>
            <w:r>
              <w:rPr>
                <w:rFonts w:ascii="Calibri" w:hAnsi="Calibri"/>
                <w:b w:val="0"/>
                <w:sz w:val="18"/>
              </w:rPr>
              <w:t>As-built image evidence.</w:t>
            </w:r>
          </w:p>
        </w:tc>
      </w:tr>
      <w:tr>
        <w:tc>
          <w:tcPr>
            <w:tcW w:type="dxa" w:w="1800"/>
            <w:vAlign w:val="center"/>
          </w:tcPr>
          <w:p>
            <w:pPr>
              <w:spacing w:after="0"/>
            </w:pPr>
            <w:r/>
            <w:r>
              <w:rPr>
                <w:rFonts w:ascii="Calibri" w:hAnsi="Calibri"/>
                <w:b w:val="0"/>
                <w:sz w:val="18"/>
              </w:rPr>
              <w:t>Part 2 design</w:t>
            </w:r>
          </w:p>
        </w:tc>
        <w:tc>
          <w:tcPr>
            <w:tcW w:type="dxa" w:w="3744"/>
            <w:vAlign w:val="center"/>
          </w:tcPr>
          <w:p>
            <w:pPr>
              <w:spacing w:after="0"/>
            </w:pPr>
            <w:r/>
            <w:r>
              <w:rPr>
                <w:rFonts w:ascii="Calibri" w:hAnsi="Calibri"/>
                <w:b w:val="0"/>
                <w:sz w:val="18"/>
              </w:rPr>
              <w:t>Registered JSON, 18,468 struts</w:t>
            </w:r>
          </w:p>
        </w:tc>
        <w:tc>
          <w:tcPr>
            <w:tcW w:type="dxa" w:w="3672"/>
            <w:vAlign w:val="center"/>
          </w:tcPr>
          <w:p>
            <w:pPr>
              <w:spacing w:after="0"/>
            </w:pPr>
            <w:r/>
            <w:r>
              <w:rPr>
                <w:rFonts w:ascii="Calibri" w:hAnsi="Calibri"/>
                <w:b w:val="0"/>
                <w:sz w:val="18"/>
              </w:rPr>
              <w:t>Expected centerlines in CT coordinates.</w:t>
            </w:r>
          </w:p>
        </w:tc>
      </w:tr>
      <w:tr>
        <w:tc>
          <w:tcPr>
            <w:tcW w:type="dxa" w:w="1800"/>
            <w:vAlign w:val="center"/>
          </w:tcPr>
          <w:p>
            <w:pPr>
              <w:spacing w:after="0"/>
            </w:pPr>
            <w:r/>
            <w:r>
              <w:rPr>
                <w:rFonts w:ascii="Calibri" w:hAnsi="Calibri"/>
                <w:b w:val="0"/>
                <w:sz w:val="18"/>
              </w:rPr>
              <w:t>STL variants</w:t>
            </w:r>
          </w:p>
        </w:tc>
        <w:tc>
          <w:tcPr>
            <w:tcW w:type="dxa" w:w="3744"/>
            <w:vAlign w:val="center"/>
          </w:tcPr>
          <w:p>
            <w:pPr>
              <w:spacing w:after="0"/>
            </w:pPr>
            <w:r/>
            <w:r>
              <w:rPr>
                <w:rFonts w:ascii="Calibri" w:hAnsi="Calibri"/>
                <w:b w:val="0"/>
                <w:sz w:val="18"/>
              </w:rPr>
              <w:t>Unregistered</w:t>
            </w:r>
          </w:p>
        </w:tc>
        <w:tc>
          <w:tcPr>
            <w:tcW w:type="dxa" w:w="3672"/>
            <w:vAlign w:val="center"/>
          </w:tcPr>
          <w:p>
            <w:pPr>
              <w:spacing w:after="0"/>
            </w:pPr>
            <w:r/>
            <w:r>
              <w:rPr>
                <w:rFonts w:ascii="Calibri" w:hAnsi="Calibri"/>
                <w:b w:val="0"/>
                <w:sz w:val="18"/>
              </w:rPr>
              <w:t>Excluded from quantitative comparison.</w:t>
            </w:r>
          </w:p>
        </w:tc>
      </w:tr>
    </w:tbl>
    <w:p>
      <w:pPr>
        <w:spacing w:after="40"/>
      </w:pPr>
    </w:p>
    <w:p>
      <w:pPr>
        <w:pStyle w:val="Heading1"/>
      </w:pPr>
      <w:r>
        <w:t>2. Part 1 Methods and Results</w:t>
      </w:r>
    </w:p>
    <w:p>
      <w:pPr>
        <w:spacing w:after="120" w:line="264" w:lineRule="auto"/>
      </w:pPr>
      <w:r>
        <w:t>Three segmentation thresholds were compared. The selected threshold, 0.005813, is the Otsu value and provided a balanced foreground fraction with visually continuous lattice material. The chosen binary mask was skeletonized and rendered from two 3D perspectives for NDE review.</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E8EEF5"/>
          </w:tcPr>
          <w:p>
            <w:pPr>
              <w:spacing w:after="0"/>
            </w:pPr>
            <w:r/>
            <w:r>
              <w:rPr>
                <w:rFonts w:ascii="Calibri" w:hAnsi="Calibri"/>
                <w:b/>
                <w:color w:val="000000"/>
                <w:sz w:val="18"/>
              </w:rPr>
              <w:t>Threshold</w:t>
            </w:r>
          </w:p>
        </w:tc>
        <w:tc>
          <w:tcPr>
            <w:tcW w:type="dxa" w:w="2592"/>
            <w:vAlign w:val="center"/>
            <w:shd w:fill="E8EEF5"/>
          </w:tcPr>
          <w:p>
            <w:pPr>
              <w:spacing w:after="0"/>
            </w:pPr>
            <w:r/>
            <w:r>
              <w:rPr>
                <w:rFonts w:ascii="Calibri" w:hAnsi="Calibri"/>
                <w:b/>
                <w:color w:val="000000"/>
                <w:sz w:val="18"/>
              </w:rPr>
              <w:t>Foreground fraction</w:t>
            </w:r>
          </w:p>
        </w:tc>
        <w:tc>
          <w:tcPr>
            <w:tcW w:type="dxa" w:w="4320"/>
            <w:vAlign w:val="center"/>
            <w:shd w:fill="E8EEF5"/>
          </w:tcPr>
          <w:p>
            <w:pPr>
              <w:spacing w:after="0"/>
            </w:pPr>
            <w:r/>
            <w:r>
              <w:rPr>
                <w:rFonts w:ascii="Calibri" w:hAnsi="Calibri"/>
                <w:b/>
                <w:color w:val="000000"/>
                <w:sz w:val="18"/>
              </w:rPr>
              <w:t>Decision</w:t>
            </w:r>
          </w:p>
        </w:tc>
      </w:tr>
      <w:tr>
        <w:tc>
          <w:tcPr>
            <w:tcW w:type="dxa" w:w="2304"/>
            <w:vAlign w:val="center"/>
          </w:tcPr>
          <w:p>
            <w:pPr>
              <w:spacing w:after="0"/>
            </w:pPr>
            <w:r/>
            <w:r>
              <w:rPr>
                <w:rFonts w:ascii="Calibri" w:hAnsi="Calibri"/>
                <w:b w:val="0"/>
                <w:sz w:val="18"/>
              </w:rPr>
              <w:t>0.004500</w:t>
            </w:r>
          </w:p>
        </w:tc>
        <w:tc>
          <w:tcPr>
            <w:tcW w:type="dxa" w:w="2592"/>
            <w:vAlign w:val="center"/>
          </w:tcPr>
          <w:p>
            <w:pPr>
              <w:spacing w:after="0"/>
            </w:pPr>
            <w:r/>
            <w:r>
              <w:rPr>
                <w:rFonts w:ascii="Calibri" w:hAnsi="Calibri"/>
                <w:b w:val="0"/>
                <w:sz w:val="18"/>
              </w:rPr>
              <w:t>4.3416%</w:t>
            </w:r>
          </w:p>
        </w:tc>
        <w:tc>
          <w:tcPr>
            <w:tcW w:type="dxa" w:w="4320"/>
            <w:vAlign w:val="center"/>
          </w:tcPr>
          <w:p>
            <w:pPr>
              <w:spacing w:after="0"/>
            </w:pPr>
            <w:r/>
            <w:r>
              <w:rPr>
                <w:rFonts w:ascii="Calibri" w:hAnsi="Calibri"/>
                <w:b w:val="0"/>
                <w:sz w:val="18"/>
              </w:rPr>
              <w:t>Lower threshold candidate.</w:t>
            </w:r>
          </w:p>
        </w:tc>
      </w:tr>
      <w:tr>
        <w:tc>
          <w:tcPr>
            <w:tcW w:type="dxa" w:w="2304"/>
            <w:vAlign w:val="center"/>
          </w:tcPr>
          <w:p>
            <w:pPr>
              <w:spacing w:after="0"/>
            </w:pPr>
            <w:r/>
            <w:r>
              <w:rPr>
                <w:rFonts w:ascii="Calibri" w:hAnsi="Calibri"/>
                <w:b w:val="0"/>
                <w:sz w:val="18"/>
              </w:rPr>
              <w:t>0.005813</w:t>
            </w:r>
          </w:p>
        </w:tc>
        <w:tc>
          <w:tcPr>
            <w:tcW w:type="dxa" w:w="2592"/>
            <w:vAlign w:val="center"/>
          </w:tcPr>
          <w:p>
            <w:pPr>
              <w:spacing w:after="0"/>
            </w:pPr>
            <w:r/>
            <w:r>
              <w:rPr>
                <w:rFonts w:ascii="Calibri" w:hAnsi="Calibri"/>
                <w:b w:val="0"/>
                <w:sz w:val="18"/>
              </w:rPr>
              <w:t>4.2787%</w:t>
            </w:r>
          </w:p>
        </w:tc>
        <w:tc>
          <w:tcPr>
            <w:tcW w:type="dxa" w:w="4320"/>
            <w:vAlign w:val="center"/>
          </w:tcPr>
          <w:p>
            <w:pPr>
              <w:spacing w:after="0"/>
            </w:pPr>
            <w:r/>
            <w:r>
              <w:rPr>
                <w:rFonts w:ascii="Calibri" w:hAnsi="Calibri"/>
                <w:b w:val="0"/>
                <w:sz w:val="18"/>
              </w:rPr>
              <w:t>Selected Otsu threshold.</w:t>
            </w:r>
          </w:p>
        </w:tc>
      </w:tr>
      <w:tr>
        <w:tc>
          <w:tcPr>
            <w:tcW w:type="dxa" w:w="2304"/>
            <w:vAlign w:val="center"/>
          </w:tcPr>
          <w:p>
            <w:pPr>
              <w:spacing w:after="0"/>
            </w:pPr>
            <w:r/>
            <w:r>
              <w:rPr>
                <w:rFonts w:ascii="Calibri" w:hAnsi="Calibri"/>
                <w:b w:val="0"/>
                <w:sz w:val="18"/>
              </w:rPr>
              <w:t>0.007000</w:t>
            </w:r>
          </w:p>
        </w:tc>
        <w:tc>
          <w:tcPr>
            <w:tcW w:type="dxa" w:w="2592"/>
            <w:vAlign w:val="center"/>
          </w:tcPr>
          <w:p>
            <w:pPr>
              <w:spacing w:after="0"/>
            </w:pPr>
            <w:r/>
            <w:r>
              <w:rPr>
                <w:rFonts w:ascii="Calibri" w:hAnsi="Calibri"/>
                <w:b w:val="0"/>
                <w:sz w:val="18"/>
              </w:rPr>
              <w:t>4.2480%</w:t>
            </w:r>
          </w:p>
        </w:tc>
        <w:tc>
          <w:tcPr>
            <w:tcW w:type="dxa" w:w="4320"/>
            <w:vAlign w:val="center"/>
          </w:tcPr>
          <w:p>
            <w:pPr>
              <w:spacing w:after="0"/>
            </w:pPr>
            <w:r/>
            <w:r>
              <w:rPr>
                <w:rFonts w:ascii="Calibri" w:hAnsi="Calibri"/>
                <w:b w:val="0"/>
                <w:sz w:val="18"/>
              </w:rPr>
              <w:t>Higher threshold candidate.</w:t>
            </w:r>
          </w:p>
        </w:tc>
      </w:tr>
    </w:tbl>
    <w:p>
      <w:pPr>
        <w:spacing w:after="40"/>
      </w:pPr>
    </w:p>
    <w:p>
      <w:pPr>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unitcell_raw_slice_128.png"/>
                    <pic:cNvPicPr/>
                  </pic:nvPicPr>
                  <pic:blipFill>
                    <a:blip r:embed="rId11"/>
                    <a:stretch>
                      <a:fillRect/>
                    </a:stretch>
                  </pic:blipFill>
                  <pic:spPr>
                    <a:xfrm>
                      <a:off x="0" y="0"/>
                      <a:ext cx="4389120" cy="4389120"/>
                    </a:xfrm>
                    <a:prstGeom prst="rect"/>
                  </pic:spPr>
                </pic:pic>
              </a:graphicData>
            </a:graphic>
          </wp:inline>
        </w:drawing>
      </w:r>
    </w:p>
    <w:p>
      <w:pPr>
        <w:spacing w:after="180"/>
        <w:jc w:val="center"/>
      </w:pPr>
      <w:r>
        <w:rPr>
          <w:i/>
          <w:color w:val="505050"/>
          <w:sz w:val="18"/>
        </w:rPr>
        <w:t>Figure 1. Part 1 unit-cell raw CT slice (slice 128).</w:t>
      </w:r>
    </w:p>
    <w:p>
      <w:pPr>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unitcell_mask_slice_128.png"/>
                    <pic:cNvPicPr/>
                  </pic:nvPicPr>
                  <pic:blipFill>
                    <a:blip r:embed="rId12"/>
                    <a:stretch>
                      <a:fillRect/>
                    </a:stretch>
                  </pic:blipFill>
                  <pic:spPr>
                    <a:xfrm>
                      <a:off x="0" y="0"/>
                      <a:ext cx="4389120" cy="4389120"/>
                    </a:xfrm>
                    <a:prstGeom prst="rect"/>
                  </pic:spPr>
                </pic:pic>
              </a:graphicData>
            </a:graphic>
          </wp:inline>
        </w:drawing>
      </w:r>
    </w:p>
    <w:p>
      <w:pPr>
        <w:spacing w:after="180"/>
        <w:jc w:val="center"/>
      </w:pPr>
      <w:r>
        <w:rPr>
          <w:i/>
          <w:color w:val="505050"/>
          <w:sz w:val="18"/>
        </w:rPr>
        <w:t>Figure 2. Part 1 selected segmentation mask at the same slice.</w:t>
      </w:r>
    </w:p>
    <w:p>
      <w:pPr>
        <w:jc w:val="center"/>
      </w:pPr>
      <w:r>
        <w:drawing>
          <wp:inline xmlns:a="http://schemas.openxmlformats.org/drawingml/2006/main" xmlns:pic="http://schemas.openxmlformats.org/drawingml/2006/picture">
            <wp:extent cx="4754880" cy="5005691"/>
            <wp:docPr id="3" name="Picture 3"/>
            <wp:cNvGraphicFramePr>
              <a:graphicFrameLocks noChangeAspect="1"/>
            </wp:cNvGraphicFramePr>
            <a:graphic>
              <a:graphicData uri="http://schemas.openxmlformats.org/drawingml/2006/picture">
                <pic:pic>
                  <pic:nvPicPr>
                    <pic:cNvPr id="0" name="view_a.png"/>
                    <pic:cNvPicPr/>
                  </pic:nvPicPr>
                  <pic:blipFill>
                    <a:blip r:embed="rId13"/>
                    <a:stretch>
                      <a:fillRect/>
                    </a:stretch>
                  </pic:blipFill>
                  <pic:spPr>
                    <a:xfrm>
                      <a:off x="0" y="0"/>
                      <a:ext cx="4754880" cy="5005691"/>
                    </a:xfrm>
                    <a:prstGeom prst="rect"/>
                  </pic:spPr>
                </pic:pic>
              </a:graphicData>
            </a:graphic>
          </wp:inline>
        </w:drawing>
      </w:r>
    </w:p>
    <w:p>
      <w:pPr>
        <w:spacing w:after="180"/>
        <w:jc w:val="center"/>
      </w:pPr>
      <w:r>
        <w:rPr>
          <w:i/>
          <w:color w:val="505050"/>
          <w:sz w:val="18"/>
        </w:rPr>
        <w:t>Figure 3. Part 1 NDE View A: elevation 30 degrees, azimuth 45 degrees.</w:t>
      </w:r>
    </w:p>
    <w:p>
      <w:pPr>
        <w:jc w:val="center"/>
      </w:pPr>
      <w:r>
        <w:drawing>
          <wp:inline xmlns:a="http://schemas.openxmlformats.org/drawingml/2006/main" xmlns:pic="http://schemas.openxmlformats.org/drawingml/2006/picture">
            <wp:extent cx="4754880" cy="5005691"/>
            <wp:docPr id="4" name="Picture 4"/>
            <wp:cNvGraphicFramePr>
              <a:graphicFrameLocks noChangeAspect="1"/>
            </wp:cNvGraphicFramePr>
            <a:graphic>
              <a:graphicData uri="http://schemas.openxmlformats.org/drawingml/2006/picture">
                <pic:pic>
                  <pic:nvPicPr>
                    <pic:cNvPr id="0" name="view_b.png"/>
                    <pic:cNvPicPr/>
                  </pic:nvPicPr>
                  <pic:blipFill>
                    <a:blip r:embed="rId14"/>
                    <a:stretch>
                      <a:fillRect/>
                    </a:stretch>
                  </pic:blipFill>
                  <pic:spPr>
                    <a:xfrm>
                      <a:off x="0" y="0"/>
                      <a:ext cx="4754880" cy="5005691"/>
                    </a:xfrm>
                    <a:prstGeom prst="rect"/>
                  </pic:spPr>
                </pic:pic>
              </a:graphicData>
            </a:graphic>
          </wp:inline>
        </w:drawing>
      </w:r>
    </w:p>
    <w:p>
      <w:pPr>
        <w:spacing w:after="180"/>
        <w:jc w:val="center"/>
      </w:pPr>
      <w:r>
        <w:rPr>
          <w:i/>
          <w:color w:val="505050"/>
          <w:sz w:val="18"/>
        </w:rPr>
        <w:t>Figure 4. Part 1 NDE View B: elevation 60 degrees, azimuth 45 degrees.</w:t>
      </w:r>
    </w:p>
    <w:p>
      <w:pPr>
        <w:spacing w:after="120" w:line="264" w:lineRule="auto"/>
      </w:pPr>
      <w:r>
        <w:t>Part 1 conclusion: the selected mask and skeleton are dimensionally compatible with the source volume. The single connected skeletal component supports the intended unit-cell connectivity for this dataset; it is a morphology proxy, not a mechanical simulation.</w:t>
      </w:r>
    </w:p>
    <w:p>
      <w:r>
        <w:br w:type="page"/>
      </w:r>
    </w:p>
    <w:p>
      <w:pPr>
        <w:pStyle w:val="Heading1"/>
      </w:pPr>
      <w:r>
        <w:t>3. Part 2 Registered CT-to-Graph Screening</w:t>
      </w:r>
    </w:p>
    <w:p>
      <w:pPr>
        <w:spacing w:after="120" w:line="264" w:lineRule="auto"/>
      </w:pPr>
      <w:r>
        <w:t>The Part 2 graph was already registered to the CT voxel coordinate system. Expected strut centerlines were sampled after converting graph XYZ coordinates to CT indexing. A local tube test used the 75th-percentile CT intensity around each sample, which is more tolerant of small offsets than a single centerline voxel. Samples were trimmed to the central 8%-92% of each strut to reduce junction influence.</w:t>
      </w:r>
    </w:p>
    <w:p>
      <w:pPr>
        <w:pStyle w:val="ListBullet"/>
        <w:spacing w:after="60"/>
      </w:pPr>
      <w:r>
        <w:t>31 samples per expected strut; seven representative CT slices for threshold candidates.</w:t>
      </w:r>
    </w:p>
    <w:p>
      <w:pPr>
        <w:pStyle w:val="ListBullet"/>
        <w:spacing w:after="60"/>
      </w:pPr>
      <w:r>
        <w:t>Candidate labels: low-support (missing candidate), internal-gap (disconnected candidate), intermediate-support (uncertain candidate), and clear.</w:t>
      </w:r>
    </w:p>
    <w:p>
      <w:pPr>
        <w:pStyle w:val="ListBullet"/>
        <w:spacing w:after="60"/>
      </w:pPr>
      <w:r>
        <w:t>No unregistered STL geometry was opened or compared to the CT result.</w:t>
      </w:r>
    </w:p>
    <w:tbl>
      <w:tblPr>
        <w:tblStyle w:val="TableGrid"/>
        <w:tblW w:type="auto" w:w="0"/>
        <w:jc w:val="center"/>
        <w:tblLook w:firstColumn="1" w:firstRow="1" w:lastColumn="0" w:lastRow="0" w:noHBand="0" w:noVBand="1" w:val="04A0"/>
      </w:tblPr>
      <w:tblGrid>
        <w:gridCol w:w="3264"/>
        <w:gridCol w:w="3264"/>
        <w:gridCol w:w="3264"/>
      </w:tblGrid>
      <w:tr>
        <w:tc>
          <w:tcPr>
            <w:tcW w:type="dxa" w:w="2088"/>
            <w:vAlign w:val="center"/>
            <w:shd w:fill="E8EEF5"/>
          </w:tcPr>
          <w:p>
            <w:pPr>
              <w:spacing w:after="0"/>
            </w:pPr>
            <w:r/>
            <w:r>
              <w:rPr>
                <w:rFonts w:ascii="Calibri" w:hAnsi="Calibri"/>
                <w:b/>
                <w:color w:val="000000"/>
                <w:sz w:val="18"/>
              </w:rPr>
              <w:t>Parameter</w:t>
            </w:r>
          </w:p>
        </w:tc>
        <w:tc>
          <w:tcPr>
            <w:tcW w:type="dxa" w:w="2376"/>
            <w:vAlign w:val="center"/>
            <w:shd w:fill="E8EEF5"/>
          </w:tcPr>
          <w:p>
            <w:pPr>
              <w:spacing w:after="0"/>
            </w:pPr>
            <w:r/>
            <w:r>
              <w:rPr>
                <w:rFonts w:ascii="Calibri" w:hAnsi="Calibri"/>
                <w:b/>
                <w:color w:val="000000"/>
                <w:sz w:val="18"/>
              </w:rPr>
              <w:t>Retained value</w:t>
            </w:r>
          </w:p>
        </w:tc>
        <w:tc>
          <w:tcPr>
            <w:tcW w:type="dxa" w:w="4752"/>
            <w:vAlign w:val="center"/>
            <w:shd w:fill="E8EEF5"/>
          </w:tcPr>
          <w:p>
            <w:pPr>
              <w:spacing w:after="0"/>
            </w:pPr>
            <w:r/>
            <w:r>
              <w:rPr>
                <w:rFonts w:ascii="Calibri" w:hAnsi="Calibri"/>
                <w:b/>
                <w:color w:val="000000"/>
                <w:sz w:val="18"/>
              </w:rPr>
              <w:t>Reason</w:t>
            </w:r>
          </w:p>
        </w:tc>
      </w:tr>
      <w:tr>
        <w:tc>
          <w:tcPr>
            <w:tcW w:type="dxa" w:w="2088"/>
            <w:vAlign w:val="center"/>
          </w:tcPr>
          <w:p>
            <w:pPr>
              <w:spacing w:after="0"/>
            </w:pPr>
            <w:r/>
            <w:r>
              <w:rPr>
                <w:rFonts w:ascii="Calibri" w:hAnsi="Calibri"/>
                <w:b w:val="0"/>
                <w:sz w:val="18"/>
              </w:rPr>
              <w:t>Tube radius</w:t>
            </w:r>
          </w:p>
        </w:tc>
        <w:tc>
          <w:tcPr>
            <w:tcW w:type="dxa" w:w="2376"/>
            <w:vAlign w:val="center"/>
          </w:tcPr>
          <w:p>
            <w:pPr>
              <w:spacing w:after="0"/>
            </w:pPr>
            <w:r/>
            <w:r>
              <w:rPr>
                <w:rFonts w:ascii="Calibri" w:hAnsi="Calibri"/>
                <w:b w:val="0"/>
                <w:sz w:val="18"/>
              </w:rPr>
              <w:t>2 original CT voxels</w:t>
            </w:r>
          </w:p>
        </w:tc>
        <w:tc>
          <w:tcPr>
            <w:tcW w:type="dxa" w:w="4752"/>
            <w:vAlign w:val="center"/>
          </w:tcPr>
          <w:p>
            <w:pPr>
              <w:spacing w:after="0"/>
            </w:pPr>
            <w:r/>
            <w:r>
              <w:rPr>
                <w:rFonts w:ascii="Calibri" w:hAnsi="Calibri"/>
                <w:b w:val="0"/>
                <w:sz w:val="18"/>
              </w:rPr>
              <w:t>Least flagging among radii 1, 2, and 3.</w:t>
            </w:r>
          </w:p>
        </w:tc>
      </w:tr>
      <w:tr>
        <w:tc>
          <w:tcPr>
            <w:tcW w:type="dxa" w:w="2088"/>
            <w:vAlign w:val="center"/>
          </w:tcPr>
          <w:p>
            <w:pPr>
              <w:spacing w:after="0"/>
            </w:pPr>
            <w:r/>
            <w:r>
              <w:rPr>
                <w:rFonts w:ascii="Calibri" w:hAnsi="Calibri"/>
                <w:b w:val="0"/>
                <w:sz w:val="18"/>
              </w:rPr>
              <w:t>Selected threshold</w:t>
            </w:r>
          </w:p>
        </w:tc>
        <w:tc>
          <w:tcPr>
            <w:tcW w:type="dxa" w:w="2376"/>
            <w:vAlign w:val="center"/>
          </w:tcPr>
          <w:p>
            <w:pPr>
              <w:spacing w:after="0"/>
            </w:pPr>
            <w:r/>
            <w:r>
              <w:rPr>
                <w:rFonts w:ascii="Calibri" w:hAnsi="Calibri"/>
                <w:b w:val="0"/>
                <w:sz w:val="18"/>
              </w:rPr>
              <w:t>39,725</w:t>
            </w:r>
          </w:p>
        </w:tc>
        <w:tc>
          <w:tcPr>
            <w:tcW w:type="dxa" w:w="4752"/>
            <w:vAlign w:val="center"/>
          </w:tcPr>
          <w:p>
            <w:pPr>
              <w:spacing w:after="0"/>
            </w:pPr>
            <w:r/>
            <w:r>
              <w:rPr>
                <w:rFonts w:ascii="Calibri" w:hAnsi="Calibri"/>
                <w:b w:val="0"/>
                <w:sz w:val="18"/>
              </w:rPr>
              <w:t>Separation criterion while retaining median centerline support &gt;= 0.60.</w:t>
            </w:r>
          </w:p>
        </w:tc>
      </w:tr>
      <w:tr>
        <w:tc>
          <w:tcPr>
            <w:tcW w:type="dxa" w:w="2088"/>
            <w:vAlign w:val="center"/>
          </w:tcPr>
          <w:p>
            <w:pPr>
              <w:spacing w:after="0"/>
            </w:pPr>
            <w:r/>
            <w:r>
              <w:rPr>
                <w:rFonts w:ascii="Calibri" w:hAnsi="Calibri"/>
                <w:b w:val="0"/>
                <w:sz w:val="18"/>
              </w:rPr>
              <w:t>Missing rule</w:t>
            </w:r>
          </w:p>
        </w:tc>
        <w:tc>
          <w:tcPr>
            <w:tcW w:type="dxa" w:w="2376"/>
            <w:vAlign w:val="center"/>
          </w:tcPr>
          <w:p>
            <w:pPr>
              <w:spacing w:after="0"/>
            </w:pPr>
            <w:r/>
            <w:r>
              <w:rPr>
                <w:rFonts w:ascii="Calibri" w:hAnsi="Calibri"/>
                <w:b w:val="0"/>
                <w:sz w:val="18"/>
              </w:rPr>
              <w:t>Material fraction &lt; 0.04</w:t>
            </w:r>
          </w:p>
        </w:tc>
        <w:tc>
          <w:tcPr>
            <w:tcW w:type="dxa" w:w="4752"/>
            <w:vAlign w:val="center"/>
          </w:tcPr>
          <w:p>
            <w:pPr>
              <w:spacing w:after="0"/>
            </w:pPr>
            <w:r/>
            <w:r>
              <w:rPr>
                <w:rFonts w:ascii="Calibri" w:hAnsi="Calibri"/>
                <w:b w:val="0"/>
                <w:sz w:val="18"/>
              </w:rPr>
              <w:t>Conservative low-support candidate screen.</w:t>
            </w:r>
          </w:p>
        </w:tc>
      </w:tr>
      <w:tr>
        <w:tc>
          <w:tcPr>
            <w:tcW w:type="dxa" w:w="2088"/>
            <w:vAlign w:val="center"/>
          </w:tcPr>
          <w:p>
            <w:pPr>
              <w:spacing w:after="0"/>
            </w:pPr>
            <w:r/>
            <w:r>
              <w:rPr>
                <w:rFonts w:ascii="Calibri" w:hAnsi="Calibri"/>
                <w:b w:val="0"/>
                <w:sz w:val="18"/>
              </w:rPr>
              <w:t>Disconnected rule</w:t>
            </w:r>
          </w:p>
        </w:tc>
        <w:tc>
          <w:tcPr>
            <w:tcW w:type="dxa" w:w="2376"/>
            <w:vAlign w:val="center"/>
          </w:tcPr>
          <w:p>
            <w:pPr>
              <w:spacing w:after="0"/>
            </w:pPr>
            <w:r/>
            <w:r>
              <w:rPr>
                <w:rFonts w:ascii="Calibri" w:hAnsi="Calibri"/>
                <w:b w:val="0"/>
                <w:sz w:val="18"/>
              </w:rPr>
              <w:t>Material fraction &lt; 0.35 with long internal gap</w:t>
            </w:r>
          </w:p>
        </w:tc>
        <w:tc>
          <w:tcPr>
            <w:tcW w:type="dxa" w:w="4752"/>
            <w:vAlign w:val="center"/>
          </w:tcPr>
          <w:p>
            <w:pPr>
              <w:spacing w:after="0"/>
            </w:pPr>
            <w:r/>
            <w:r>
              <w:rPr>
                <w:rFonts w:ascii="Calibri" w:hAnsi="Calibri"/>
                <w:b w:val="0"/>
                <w:sz w:val="18"/>
              </w:rPr>
              <w:t>Separates gap-like screening behavior from low support.</w:t>
            </w:r>
          </w:p>
        </w:tc>
      </w:tr>
    </w:tbl>
    <w:p>
      <w:pPr>
        <w:spacing w:after="40"/>
      </w:pPr>
    </w:p>
    <w:p>
      <w:pPr>
        <w:jc w:val="center"/>
      </w:pPr>
      <w:r>
        <w:drawing>
          <wp:inline xmlns:a="http://schemas.openxmlformats.org/drawingml/2006/main" xmlns:pic="http://schemas.openxmlformats.org/drawingml/2006/picture">
            <wp:extent cx="5623560" cy="2108835"/>
            <wp:docPr id="5" name="Picture 5"/>
            <wp:cNvGraphicFramePr>
              <a:graphicFrameLocks noChangeAspect="1"/>
            </wp:cNvGraphicFramePr>
            <a:graphic>
              <a:graphicData uri="http://schemas.openxmlformats.org/drawingml/2006/picture">
                <pic:pic>
                  <pic:nvPicPr>
                    <pic:cNvPr id="0" name="threshold_diagnostics.png"/>
                    <pic:cNvPicPr/>
                  </pic:nvPicPr>
                  <pic:blipFill>
                    <a:blip r:embed="rId15"/>
                    <a:stretch>
                      <a:fillRect/>
                    </a:stretch>
                  </pic:blipFill>
                  <pic:spPr>
                    <a:xfrm>
                      <a:off x="0" y="0"/>
                      <a:ext cx="5623560" cy="2108835"/>
                    </a:xfrm>
                    <a:prstGeom prst="rect"/>
                  </pic:spPr>
                </pic:pic>
              </a:graphicData>
            </a:graphic>
          </wp:inline>
        </w:drawing>
      </w:r>
    </w:p>
    <w:p>
      <w:pPr>
        <w:spacing w:after="180"/>
        <w:jc w:val="center"/>
      </w:pPr>
      <w:r>
        <w:rPr>
          <w:i/>
          <w:color w:val="505050"/>
          <w:sz w:val="18"/>
        </w:rPr>
        <w:t>Figure 5. Part 2 radius-2 centerline intensity distribution and threshold-candidate separation.</w:t>
      </w:r>
    </w:p>
    <w:p>
      <w:pPr>
        <w:pStyle w:val="Heading1"/>
      </w:pPr>
      <w:r>
        <w:t>4. Part 2 Sensitivity and Candidate Results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584"/>
            <w:vAlign w:val="center"/>
            <w:shd w:fill="E8EEF5"/>
          </w:tcPr>
          <w:p>
            <w:pPr>
              <w:spacing w:after="0"/>
            </w:pPr>
            <w:r/>
            <w:r>
              <w:rPr>
                <w:rFonts w:ascii="Calibri" w:hAnsi="Calibri"/>
                <w:b/>
                <w:color w:val="000000"/>
                <w:sz w:val="18"/>
              </w:rPr>
              <w:t>Tube radius (voxels)</w:t>
            </w:r>
          </w:p>
        </w:tc>
        <w:tc>
          <w:tcPr>
            <w:tcW w:type="dxa" w:w="1440"/>
            <w:vAlign w:val="center"/>
            <w:shd w:fill="E8EEF5"/>
          </w:tcPr>
          <w:p>
            <w:pPr>
              <w:spacing w:after="0"/>
            </w:pPr>
            <w:r/>
            <w:r>
              <w:rPr>
                <w:rFonts w:ascii="Calibri" w:hAnsi="Calibri"/>
                <w:b/>
                <w:color w:val="000000"/>
                <w:sz w:val="18"/>
              </w:rPr>
              <w:t>Threshold</w:t>
            </w:r>
          </w:p>
        </w:tc>
        <w:tc>
          <w:tcPr>
            <w:tcW w:type="dxa" w:w="1512"/>
            <w:vAlign w:val="center"/>
            <w:shd w:fill="E8EEF5"/>
          </w:tcPr>
          <w:p>
            <w:pPr>
              <w:spacing w:after="0"/>
            </w:pPr>
            <w:r/>
            <w:r>
              <w:rPr>
                <w:rFonts w:ascii="Calibri" w:hAnsi="Calibri"/>
                <w:b/>
                <w:color w:val="000000"/>
                <w:sz w:val="18"/>
              </w:rPr>
              <w:t>Low support</w:t>
            </w:r>
          </w:p>
        </w:tc>
        <w:tc>
          <w:tcPr>
            <w:tcW w:type="dxa" w:w="1584"/>
            <w:vAlign w:val="center"/>
            <w:shd w:fill="E8EEF5"/>
          </w:tcPr>
          <w:p>
            <w:pPr>
              <w:spacing w:after="0"/>
            </w:pPr>
            <w:r/>
            <w:r>
              <w:rPr>
                <w:rFonts w:ascii="Calibri" w:hAnsi="Calibri"/>
                <w:b/>
                <w:color w:val="000000"/>
                <w:sz w:val="18"/>
              </w:rPr>
              <w:t>Disconnected</w:t>
            </w:r>
          </w:p>
        </w:tc>
        <w:tc>
          <w:tcPr>
            <w:tcW w:type="dxa" w:w="1440"/>
            <w:vAlign w:val="center"/>
            <w:shd w:fill="E8EEF5"/>
          </w:tcPr>
          <w:p>
            <w:pPr>
              <w:spacing w:after="0"/>
            </w:pPr>
            <w:r/>
            <w:r>
              <w:rPr>
                <w:rFonts w:ascii="Calibri" w:hAnsi="Calibri"/>
                <w:b/>
                <w:color w:val="000000"/>
                <w:sz w:val="18"/>
              </w:rPr>
              <w:t>Uncertain</w:t>
            </w:r>
          </w:p>
        </w:tc>
        <w:tc>
          <w:tcPr>
            <w:tcW w:type="dxa" w:w="1584"/>
            <w:vAlign w:val="center"/>
            <w:shd w:fill="E8EEF5"/>
          </w:tcPr>
          <w:p>
            <w:pPr>
              <w:spacing w:after="0"/>
            </w:pPr>
            <w:r/>
            <w:r>
              <w:rPr>
                <w:rFonts w:ascii="Calibri" w:hAnsi="Calibri"/>
                <w:b/>
                <w:color w:val="000000"/>
                <w:sz w:val="18"/>
              </w:rPr>
              <w:t>Clear</w:t>
            </w:r>
          </w:p>
        </w:tc>
      </w:tr>
      <w:tr>
        <w:tc>
          <w:tcPr>
            <w:tcW w:type="dxa" w:w="1584"/>
            <w:vAlign w:val="center"/>
          </w:tcPr>
          <w:p>
            <w:pPr>
              <w:spacing w:after="0"/>
            </w:pPr>
            <w:r/>
            <w:r>
              <w:rPr>
                <w:rFonts w:ascii="Calibri" w:hAnsi="Calibri"/>
                <w:b w:val="0"/>
                <w:sz w:val="18"/>
              </w:rPr>
              <w:t>1</w:t>
            </w:r>
          </w:p>
        </w:tc>
        <w:tc>
          <w:tcPr>
            <w:tcW w:type="dxa" w:w="1440"/>
            <w:vAlign w:val="center"/>
          </w:tcPr>
          <w:p>
            <w:pPr>
              <w:spacing w:after="0"/>
            </w:pPr>
            <w:r/>
            <w:r>
              <w:rPr>
                <w:rFonts w:ascii="Calibri" w:hAnsi="Calibri"/>
                <w:b w:val="0"/>
                <w:sz w:val="18"/>
              </w:rPr>
              <w:t>39,725</w:t>
            </w:r>
          </w:p>
        </w:tc>
        <w:tc>
          <w:tcPr>
            <w:tcW w:type="dxa" w:w="1512"/>
            <w:vAlign w:val="center"/>
          </w:tcPr>
          <w:p>
            <w:pPr>
              <w:spacing w:after="0"/>
            </w:pPr>
            <w:r/>
            <w:r>
              <w:rPr>
                <w:rFonts w:ascii="Calibri" w:hAnsi="Calibri"/>
                <w:b w:val="0"/>
                <w:sz w:val="18"/>
              </w:rPr>
              <w:t>1,217</w:t>
            </w:r>
          </w:p>
        </w:tc>
        <w:tc>
          <w:tcPr>
            <w:tcW w:type="dxa" w:w="1584"/>
            <w:vAlign w:val="center"/>
          </w:tcPr>
          <w:p>
            <w:pPr>
              <w:spacing w:after="0"/>
            </w:pPr>
            <w:r/>
            <w:r>
              <w:rPr>
                <w:rFonts w:ascii="Calibri" w:hAnsi="Calibri"/>
                <w:b w:val="0"/>
                <w:sz w:val="18"/>
              </w:rPr>
              <w:t>5,614</w:t>
            </w:r>
          </w:p>
        </w:tc>
        <w:tc>
          <w:tcPr>
            <w:tcW w:type="dxa" w:w="1440"/>
            <w:vAlign w:val="center"/>
          </w:tcPr>
          <w:p>
            <w:pPr>
              <w:spacing w:after="0"/>
            </w:pPr>
            <w:r/>
            <w:r>
              <w:rPr>
                <w:rFonts w:ascii="Calibri" w:hAnsi="Calibri"/>
                <w:b w:val="0"/>
                <w:sz w:val="18"/>
              </w:rPr>
              <w:t>1,199</w:t>
            </w:r>
          </w:p>
        </w:tc>
        <w:tc>
          <w:tcPr>
            <w:tcW w:type="dxa" w:w="1584"/>
            <w:vAlign w:val="center"/>
          </w:tcPr>
          <w:p>
            <w:pPr>
              <w:spacing w:after="0"/>
            </w:pPr>
            <w:r/>
            <w:r>
              <w:rPr>
                <w:rFonts w:ascii="Calibri" w:hAnsi="Calibri"/>
                <w:b w:val="0"/>
                <w:sz w:val="18"/>
              </w:rPr>
              <w:t>10,438</w:t>
            </w:r>
          </w:p>
        </w:tc>
      </w:tr>
      <w:tr>
        <w:tc>
          <w:tcPr>
            <w:tcW w:type="dxa" w:w="1584"/>
            <w:vAlign w:val="center"/>
          </w:tcPr>
          <w:p>
            <w:pPr>
              <w:spacing w:after="0"/>
            </w:pPr>
            <w:r/>
            <w:r>
              <w:rPr>
                <w:rFonts w:ascii="Calibri" w:hAnsi="Calibri"/>
                <w:b w:val="0"/>
                <w:sz w:val="18"/>
              </w:rPr>
              <w:t>2 (retained)</w:t>
            </w:r>
          </w:p>
        </w:tc>
        <w:tc>
          <w:tcPr>
            <w:tcW w:type="dxa" w:w="1440"/>
            <w:vAlign w:val="center"/>
          </w:tcPr>
          <w:p>
            <w:pPr>
              <w:spacing w:after="0"/>
            </w:pPr>
            <w:r/>
            <w:r>
              <w:rPr>
                <w:rFonts w:ascii="Calibri" w:hAnsi="Calibri"/>
                <w:b w:val="0"/>
                <w:sz w:val="18"/>
              </w:rPr>
              <w:t>39,725</w:t>
            </w:r>
          </w:p>
        </w:tc>
        <w:tc>
          <w:tcPr>
            <w:tcW w:type="dxa" w:w="1512"/>
            <w:vAlign w:val="center"/>
          </w:tcPr>
          <w:p>
            <w:pPr>
              <w:spacing w:after="0"/>
            </w:pPr>
            <w:r/>
            <w:r>
              <w:rPr>
                <w:rFonts w:ascii="Calibri" w:hAnsi="Calibri"/>
                <w:b w:val="0"/>
                <w:sz w:val="18"/>
              </w:rPr>
              <w:t>1,049</w:t>
            </w:r>
          </w:p>
        </w:tc>
        <w:tc>
          <w:tcPr>
            <w:tcW w:type="dxa" w:w="1584"/>
            <w:vAlign w:val="center"/>
          </w:tcPr>
          <w:p>
            <w:pPr>
              <w:spacing w:after="0"/>
            </w:pPr>
            <w:r/>
            <w:r>
              <w:rPr>
                <w:rFonts w:ascii="Calibri" w:hAnsi="Calibri"/>
                <w:b w:val="0"/>
                <w:sz w:val="18"/>
              </w:rPr>
              <w:t>5,262</w:t>
            </w:r>
          </w:p>
        </w:tc>
        <w:tc>
          <w:tcPr>
            <w:tcW w:type="dxa" w:w="1440"/>
            <w:vAlign w:val="center"/>
          </w:tcPr>
          <w:p>
            <w:pPr>
              <w:spacing w:after="0"/>
            </w:pPr>
            <w:r/>
            <w:r>
              <w:rPr>
                <w:rFonts w:ascii="Calibri" w:hAnsi="Calibri"/>
                <w:b w:val="0"/>
                <w:sz w:val="18"/>
              </w:rPr>
              <w:t>1,083</w:t>
            </w:r>
          </w:p>
        </w:tc>
        <w:tc>
          <w:tcPr>
            <w:tcW w:type="dxa" w:w="1584"/>
            <w:vAlign w:val="center"/>
          </w:tcPr>
          <w:p>
            <w:pPr>
              <w:spacing w:after="0"/>
            </w:pPr>
            <w:r/>
            <w:r>
              <w:rPr>
                <w:rFonts w:ascii="Calibri" w:hAnsi="Calibri"/>
                <w:b w:val="0"/>
                <w:sz w:val="18"/>
              </w:rPr>
              <w:t>11,074</w:t>
            </w:r>
          </w:p>
        </w:tc>
      </w:tr>
      <w:tr>
        <w:tc>
          <w:tcPr>
            <w:tcW w:type="dxa" w:w="1584"/>
            <w:vAlign w:val="center"/>
          </w:tcPr>
          <w:p>
            <w:pPr>
              <w:spacing w:after="0"/>
            </w:pPr>
            <w:r/>
            <w:r>
              <w:rPr>
                <w:rFonts w:ascii="Calibri" w:hAnsi="Calibri"/>
                <w:b w:val="0"/>
                <w:sz w:val="18"/>
              </w:rPr>
              <w:t>3</w:t>
            </w:r>
          </w:p>
        </w:tc>
        <w:tc>
          <w:tcPr>
            <w:tcW w:type="dxa" w:w="1440"/>
            <w:vAlign w:val="center"/>
          </w:tcPr>
          <w:p>
            <w:pPr>
              <w:spacing w:after="0"/>
            </w:pPr>
            <w:r/>
            <w:r>
              <w:rPr>
                <w:rFonts w:ascii="Calibri" w:hAnsi="Calibri"/>
                <w:b w:val="0"/>
                <w:sz w:val="18"/>
              </w:rPr>
              <w:t>42,017</w:t>
            </w:r>
          </w:p>
        </w:tc>
        <w:tc>
          <w:tcPr>
            <w:tcW w:type="dxa" w:w="1512"/>
            <w:vAlign w:val="center"/>
          </w:tcPr>
          <w:p>
            <w:pPr>
              <w:spacing w:after="0"/>
            </w:pPr>
            <w:r/>
            <w:r>
              <w:rPr>
                <w:rFonts w:ascii="Calibri" w:hAnsi="Calibri"/>
                <w:b w:val="0"/>
                <w:sz w:val="18"/>
              </w:rPr>
              <w:t>1,159</w:t>
            </w:r>
          </w:p>
        </w:tc>
        <w:tc>
          <w:tcPr>
            <w:tcW w:type="dxa" w:w="1584"/>
            <w:vAlign w:val="center"/>
          </w:tcPr>
          <w:p>
            <w:pPr>
              <w:spacing w:after="0"/>
            </w:pPr>
            <w:r/>
            <w:r>
              <w:rPr>
                <w:rFonts w:ascii="Calibri" w:hAnsi="Calibri"/>
                <w:b w:val="0"/>
                <w:sz w:val="18"/>
              </w:rPr>
              <w:t>6,505</w:t>
            </w:r>
          </w:p>
        </w:tc>
        <w:tc>
          <w:tcPr>
            <w:tcW w:type="dxa" w:w="1440"/>
            <w:vAlign w:val="center"/>
          </w:tcPr>
          <w:p>
            <w:pPr>
              <w:spacing w:after="0"/>
            </w:pPr>
            <w:r/>
            <w:r>
              <w:rPr>
                <w:rFonts w:ascii="Calibri" w:hAnsi="Calibri"/>
                <w:b w:val="0"/>
                <w:sz w:val="18"/>
              </w:rPr>
              <w:t>1,384</w:t>
            </w:r>
          </w:p>
        </w:tc>
        <w:tc>
          <w:tcPr>
            <w:tcW w:type="dxa" w:w="1584"/>
            <w:vAlign w:val="center"/>
          </w:tcPr>
          <w:p>
            <w:pPr>
              <w:spacing w:after="0"/>
            </w:pPr>
            <w:r/>
            <w:r>
              <w:rPr>
                <w:rFonts w:ascii="Calibri" w:hAnsi="Calibri"/>
                <w:b w:val="0"/>
                <w:sz w:val="18"/>
              </w:rPr>
              <w:t>9,420</w:t>
            </w:r>
          </w:p>
        </w:tc>
      </w:tr>
    </w:tbl>
    <w:p>
      <w:pPr>
        <w:spacing w:after="40"/>
      </w:pPr>
    </w:p>
    <w:p>
      <w:pPr>
        <w:spacing w:after="120" w:line="264" w:lineRule="auto"/>
      </w:pPr>
      <w:r>
        <w:t>At the retained radius-2 operating point, 7,394 struts are review candidates: 1,049 low-support, 5,262 disconnected, and 1,083 uncertain. This is a screening result, not a defect count. The marked dependence on tube radius and threshold is stronger evidence for residual registration, segmentation, and partial-volume effects than for thousands of physical defects.</w:t>
      </w:r>
    </w:p>
    <w:p>
      <w:pPr>
        <w:jc w:val="center"/>
      </w:pPr>
      <w:r>
        <w:drawing>
          <wp:inline xmlns:a="http://schemas.openxmlformats.org/drawingml/2006/main" xmlns:pic="http://schemas.openxmlformats.org/drawingml/2006/picture">
            <wp:extent cx="5623560" cy="4498848"/>
            <wp:docPr id="6" name="Picture 6"/>
            <wp:cNvGraphicFramePr>
              <a:graphicFrameLocks noChangeAspect="1"/>
            </wp:cNvGraphicFramePr>
            <a:graphic>
              <a:graphicData uri="http://schemas.openxmlformats.org/drawingml/2006/picture">
                <pic:pic>
                  <pic:nvPicPr>
                    <pic:cNvPr id="0" name="ct_mask_evidence_overlay.png"/>
                    <pic:cNvPicPr/>
                  </pic:nvPicPr>
                  <pic:blipFill>
                    <a:blip r:embed="rId16"/>
                    <a:stretch>
                      <a:fillRect/>
                    </a:stretch>
                  </pic:blipFill>
                  <pic:spPr>
                    <a:xfrm>
                      <a:off x="0" y="0"/>
                      <a:ext cx="5623560" cy="4498848"/>
                    </a:xfrm>
                    <a:prstGeom prst="rect"/>
                  </pic:spPr>
                </pic:pic>
              </a:graphicData>
            </a:graphic>
          </wp:inline>
        </w:drawing>
      </w:r>
    </w:p>
    <w:p>
      <w:pPr>
        <w:spacing w:after="180"/>
        <w:jc w:val="center"/>
      </w:pPr>
      <w:r>
        <w:rPr>
          <w:i/>
          <w:color w:val="505050"/>
          <w:sz w:val="18"/>
        </w:rPr>
        <w:t>Figure 6. Supplemental CT/segmentation overlay with nearby image-derived flags. This is supporting visual evidence only; it is not the authoritative result source.</w:t>
      </w:r>
    </w:p>
    <w:p>
      <w:pPr>
        <w:pStyle w:val="Heading1"/>
      </w:pPr>
      <w:r>
        <w:t>5. Discussion and Validation Status</w:t>
      </w:r>
    </w:p>
    <w:p>
      <w:pPr>
        <w:spacing w:after="120" w:line="264" w:lineRule="auto"/>
      </w:pPr>
      <w:r>
        <w:t>The nominal 0.5% label implies approximately 92 intentionally removed struts out of 18,468, but this value was never used as a target during classification. The screen returns far more candidates than the nominal label and does so inconsistently as parameters change. A valid analysis must retain that discrepancy rather than tune the output to meet the nominal expectation.</w:t>
      </w:r>
    </w:p>
    <w:p>
      <w:pPr>
        <w:spacing w:after="120" w:line="264" w:lineRule="auto"/>
      </w:pPr>
      <w:r>
        <w:t>The supplied JSON records registered graph positions but does not provide a transform covariance, independent fiducials, or released per-strut ground truth. Therefore an additional rigid or deformable registration refinement cannot be defensibly estimated and persisted from the currently available artifacts. The appropriate conclusion is no confirmed physical missing struts, with a ranked candidate list for review.</w:t>
      </w:r>
    </w:p>
    <w:tbl>
      <w:tblPr>
        <w:tblStyle w:val="TableGrid"/>
        <w:tblW w:type="auto" w:w="0"/>
        <w:jc w:val="center"/>
        <w:tblLook w:firstColumn="1" w:firstRow="1" w:lastColumn="0" w:lastRow="0" w:noHBand="0" w:noVBand="1" w:val="04A0"/>
      </w:tblPr>
      <w:tblGrid>
        <w:gridCol w:w="3264"/>
        <w:gridCol w:w="3264"/>
        <w:gridCol w:w="3264"/>
      </w:tblGrid>
      <w:tr>
        <w:tc>
          <w:tcPr>
            <w:tcW w:type="dxa" w:w="3240"/>
            <w:vAlign w:val="center"/>
            <w:shd w:fill="E8EEF5"/>
          </w:tcPr>
          <w:p>
            <w:pPr>
              <w:spacing w:after="0"/>
            </w:pPr>
            <w:r/>
            <w:r>
              <w:rPr>
                <w:rFonts w:ascii="Calibri" w:hAnsi="Calibri"/>
                <w:b/>
                <w:color w:val="000000"/>
                <w:sz w:val="18"/>
              </w:rPr>
              <w:t>Claim</w:t>
            </w:r>
          </w:p>
        </w:tc>
        <w:tc>
          <w:tcPr>
            <w:tcW w:type="dxa" w:w="1656"/>
            <w:vAlign w:val="center"/>
            <w:shd w:fill="E8EEF5"/>
          </w:tcPr>
          <w:p>
            <w:pPr>
              <w:spacing w:after="0"/>
            </w:pPr>
            <w:r/>
            <w:r>
              <w:rPr>
                <w:rFonts w:ascii="Calibri" w:hAnsi="Calibri"/>
                <w:b/>
                <w:color w:val="000000"/>
                <w:sz w:val="18"/>
              </w:rPr>
              <w:t>Status</w:t>
            </w:r>
          </w:p>
        </w:tc>
        <w:tc>
          <w:tcPr>
            <w:tcW w:type="dxa" w:w="4104"/>
            <w:vAlign w:val="center"/>
            <w:shd w:fill="E8EEF5"/>
          </w:tcPr>
          <w:p>
            <w:pPr>
              <w:spacing w:after="0"/>
            </w:pPr>
            <w:r/>
            <w:r>
              <w:rPr>
                <w:rFonts w:ascii="Calibri" w:hAnsi="Calibri"/>
                <w:b/>
                <w:color w:val="000000"/>
                <w:sz w:val="18"/>
              </w:rPr>
              <w:t>Evidence</w:t>
            </w:r>
          </w:p>
        </w:tc>
      </w:tr>
      <w:tr>
        <w:tc>
          <w:tcPr>
            <w:tcW w:type="dxa" w:w="3240"/>
            <w:vAlign w:val="center"/>
          </w:tcPr>
          <w:p>
            <w:pPr>
              <w:spacing w:after="0"/>
            </w:pPr>
            <w:r/>
            <w:r>
              <w:rPr>
                <w:rFonts w:ascii="Calibri" w:hAnsi="Calibri"/>
                <w:b w:val="0"/>
                <w:sz w:val="18"/>
              </w:rPr>
              <w:t>Registered JSON and CT were used</w:t>
            </w:r>
          </w:p>
        </w:tc>
        <w:tc>
          <w:tcPr>
            <w:tcW w:type="dxa" w:w="1656"/>
            <w:vAlign w:val="center"/>
          </w:tcPr>
          <w:p>
            <w:pPr>
              <w:spacing w:after="0"/>
            </w:pPr>
            <w:r/>
            <w:r>
              <w:rPr>
                <w:rFonts w:ascii="Calibri" w:hAnsi="Calibri"/>
                <w:b w:val="0"/>
                <w:sz w:val="18"/>
              </w:rPr>
              <w:t>Supported</w:t>
            </w:r>
          </w:p>
        </w:tc>
        <w:tc>
          <w:tcPr>
            <w:tcW w:type="dxa" w:w="4104"/>
            <w:vAlign w:val="center"/>
          </w:tcPr>
          <w:p>
            <w:pPr>
              <w:spacing w:after="0"/>
            </w:pPr>
            <w:r/>
            <w:r>
              <w:rPr>
                <w:rFonts w:ascii="Calibri" w:hAnsi="Calibri"/>
                <w:b w:val="0"/>
                <w:sz w:val="18"/>
              </w:rPr>
              <w:t>Paths and dimensions stored in each inspection summary.</w:t>
            </w:r>
          </w:p>
        </w:tc>
      </w:tr>
      <w:tr>
        <w:tc>
          <w:tcPr>
            <w:tcW w:type="dxa" w:w="3240"/>
            <w:vAlign w:val="center"/>
          </w:tcPr>
          <w:p>
            <w:pPr>
              <w:spacing w:after="0"/>
            </w:pPr>
            <w:r/>
            <w:r>
              <w:rPr>
                <w:rFonts w:ascii="Calibri" w:hAnsi="Calibri"/>
                <w:b w:val="0"/>
                <w:sz w:val="18"/>
              </w:rPr>
              <w:t>Unregistered STL was excluded</w:t>
            </w:r>
          </w:p>
        </w:tc>
        <w:tc>
          <w:tcPr>
            <w:tcW w:type="dxa" w:w="1656"/>
            <w:vAlign w:val="center"/>
          </w:tcPr>
          <w:p>
            <w:pPr>
              <w:spacing w:after="0"/>
            </w:pPr>
            <w:r/>
            <w:r>
              <w:rPr>
                <w:rFonts w:ascii="Calibri" w:hAnsi="Calibri"/>
                <w:b w:val="0"/>
                <w:sz w:val="18"/>
              </w:rPr>
              <w:t>Supported</w:t>
            </w:r>
          </w:p>
        </w:tc>
        <w:tc>
          <w:tcPr>
            <w:tcW w:type="dxa" w:w="4104"/>
            <w:vAlign w:val="center"/>
          </w:tcPr>
          <w:p>
            <w:pPr>
              <w:spacing w:after="0"/>
            </w:pPr>
            <w:r/>
            <w:r>
              <w:rPr>
                <w:rFonts w:ascii="Calibri" w:hAnsi="Calibri"/>
                <w:b w:val="0"/>
                <w:sz w:val="18"/>
              </w:rPr>
              <w:t>Workflow and artifact provenance state this explicitly.</w:t>
            </w:r>
          </w:p>
        </w:tc>
      </w:tr>
      <w:tr>
        <w:tc>
          <w:tcPr>
            <w:tcW w:type="dxa" w:w="3240"/>
            <w:vAlign w:val="center"/>
          </w:tcPr>
          <w:p>
            <w:pPr>
              <w:spacing w:after="0"/>
            </w:pPr>
            <w:r/>
            <w:r>
              <w:rPr>
                <w:rFonts w:ascii="Calibri" w:hAnsi="Calibri"/>
                <w:b w:val="0"/>
                <w:sz w:val="18"/>
              </w:rPr>
              <w:t>Candidates are reproducible</w:t>
            </w:r>
          </w:p>
        </w:tc>
        <w:tc>
          <w:tcPr>
            <w:tcW w:type="dxa" w:w="1656"/>
            <w:vAlign w:val="center"/>
          </w:tcPr>
          <w:p>
            <w:pPr>
              <w:spacing w:after="0"/>
            </w:pPr>
            <w:r/>
            <w:r>
              <w:rPr>
                <w:rFonts w:ascii="Calibri" w:hAnsi="Calibri"/>
                <w:b w:val="0"/>
                <w:sz w:val="18"/>
              </w:rPr>
              <w:t>Supported</w:t>
            </w:r>
          </w:p>
        </w:tc>
        <w:tc>
          <w:tcPr>
            <w:tcW w:type="dxa" w:w="4104"/>
            <w:vAlign w:val="center"/>
          </w:tcPr>
          <w:p>
            <w:pPr>
              <w:spacing w:after="0"/>
            </w:pPr>
            <w:r/>
            <w:r>
              <w:rPr>
                <w:rFonts w:ascii="Calibri" w:hAnsi="Calibri"/>
                <w:b w:val="0"/>
                <w:sz w:val="18"/>
              </w:rPr>
              <w:t>Per-strut CSV and threshold diagnostics are saved.</w:t>
            </w:r>
          </w:p>
        </w:tc>
      </w:tr>
      <w:tr>
        <w:tc>
          <w:tcPr>
            <w:tcW w:type="dxa" w:w="3240"/>
            <w:vAlign w:val="center"/>
          </w:tcPr>
          <w:p>
            <w:pPr>
              <w:spacing w:after="0"/>
            </w:pPr>
            <w:r/>
            <w:r>
              <w:rPr>
                <w:rFonts w:ascii="Calibri" w:hAnsi="Calibri"/>
                <w:b w:val="0"/>
                <w:sz w:val="18"/>
              </w:rPr>
              <w:t>Physical missing-strut count is known</w:t>
            </w:r>
          </w:p>
        </w:tc>
        <w:tc>
          <w:tcPr>
            <w:tcW w:type="dxa" w:w="1656"/>
            <w:vAlign w:val="center"/>
          </w:tcPr>
          <w:p>
            <w:pPr>
              <w:spacing w:after="0"/>
            </w:pPr>
            <w:r/>
            <w:r>
              <w:rPr>
                <w:rFonts w:ascii="Calibri" w:hAnsi="Calibri"/>
                <w:b w:val="0"/>
                <w:sz w:val="18"/>
              </w:rPr>
              <w:t>Not supported</w:t>
            </w:r>
          </w:p>
        </w:tc>
        <w:tc>
          <w:tcPr>
            <w:tcW w:type="dxa" w:w="4104"/>
            <w:vAlign w:val="center"/>
          </w:tcPr>
          <w:p>
            <w:pPr>
              <w:spacing w:after="0"/>
            </w:pPr>
            <w:r/>
            <w:r>
              <w:rPr>
                <w:rFonts w:ascii="Calibri" w:hAnsi="Calibri"/>
                <w:b w:val="0"/>
                <w:sz w:val="18"/>
              </w:rPr>
              <w:t>No registered truth join or blinded neighborhood adjudication.</w:t>
            </w:r>
          </w:p>
        </w:tc>
      </w:tr>
      <w:tr>
        <w:tc>
          <w:tcPr>
            <w:tcW w:type="dxa" w:w="3240"/>
            <w:vAlign w:val="center"/>
          </w:tcPr>
          <w:p>
            <w:pPr>
              <w:spacing w:after="0"/>
            </w:pPr>
            <w:r/>
            <w:r>
              <w:rPr>
                <w:rFonts w:ascii="Calibri" w:hAnsi="Calibri"/>
                <w:b w:val="0"/>
                <w:sz w:val="18"/>
              </w:rPr>
              <w:t>Mechanical repair benefit is known</w:t>
            </w:r>
          </w:p>
        </w:tc>
        <w:tc>
          <w:tcPr>
            <w:tcW w:type="dxa" w:w="1656"/>
            <w:vAlign w:val="center"/>
          </w:tcPr>
          <w:p>
            <w:pPr>
              <w:spacing w:after="0"/>
            </w:pPr>
            <w:r/>
            <w:r>
              <w:rPr>
                <w:rFonts w:ascii="Calibri" w:hAnsi="Calibri"/>
                <w:b w:val="0"/>
                <w:sz w:val="18"/>
              </w:rPr>
              <w:t>Not supported</w:t>
            </w:r>
          </w:p>
        </w:tc>
        <w:tc>
          <w:tcPr>
            <w:tcW w:type="dxa" w:w="4104"/>
            <w:vAlign w:val="center"/>
          </w:tcPr>
          <w:p>
            <w:pPr>
              <w:spacing w:after="0"/>
            </w:pPr>
            <w:r/>
            <w:r>
              <w:rPr>
                <w:rFonts w:ascii="Calibri" w:hAnsi="Calibri"/>
                <w:b w:val="0"/>
                <w:sz w:val="18"/>
              </w:rPr>
              <w:t>Historical repair outputs are non-FEA candidate scenarios only.</w:t>
            </w:r>
          </w:p>
        </w:tc>
      </w:tr>
    </w:tbl>
    <w:p>
      <w:pPr>
        <w:spacing w:after="40"/>
      </w:pPr>
    </w:p>
    <w:p>
      <w:pPr>
        <w:pStyle w:val="Heading1"/>
      </w:pPr>
      <w:r>
        <w:t>6. Recommended Next Steps</w:t>
      </w:r>
    </w:p>
    <w:p>
      <w:pPr>
        <w:pStyle w:val="ListBullet"/>
        <w:spacing w:after="60"/>
      </w:pPr>
      <w:r>
        <w:t>Obtain independent registration landmarks or transform uncertainty information for the CT/graph pair.</w:t>
      </w:r>
    </w:p>
    <w:p>
      <w:pPr>
        <w:pStyle w:val="ListBullet"/>
        <w:spacing w:after="60"/>
      </w:pPr>
      <w:r>
        <w:t>Perform blinded CT-neighborhood adjudication of ranked candidates, then record reviewer decisions.</w:t>
      </w:r>
    </w:p>
    <w:p>
      <w:pPr>
        <w:pStyle w:val="ListBullet"/>
        <w:spacing w:after="60"/>
      </w:pPr>
      <w:r>
        <w:t>If registered per-strut truth becomes available, calculate precision, recall, F1, and a confusion matrix before reporting a defect rate.</w:t>
      </w:r>
    </w:p>
    <w:p>
      <w:pPr>
        <w:pStyle w:val="ListBullet"/>
        <w:spacing w:after="60"/>
      </w:pPr>
      <w:r>
        <w:t>Use the saved radius-1/radius-2/radius-3 outputs as a sensitivity baseline for any future improved registration.</w:t>
      </w:r>
    </w:p>
    <w:p>
      <w:r>
        <w:br w:type="page"/>
      </w:r>
    </w:p>
    <w:p>
      <w:pPr>
        <w:pStyle w:val="Heading1"/>
      </w:pPr>
      <w:r>
        <w:t>Appendix A. Deliverable Manifest</w:t>
      </w:r>
    </w:p>
    <w:p>
      <w:pPr>
        <w:spacing w:after="120" w:line="264" w:lineRule="auto"/>
      </w:pPr>
      <w:r>
        <w:t>The following files are the complete submission-relevant output set. Large arrays and the 18,468-row candidate table are provided as companion artifacts rather than embedded in this PDF/DOCX.</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shd w:fill="E8EEF5"/>
          </w:tcPr>
          <w:p>
            <w:pPr>
              <w:spacing w:after="0"/>
            </w:pPr>
            <w:r/>
            <w:r>
              <w:rPr>
                <w:rFonts w:ascii="Calibri" w:hAnsi="Calibri"/>
                <w:b/>
                <w:color w:val="000000"/>
                <w:sz w:val="18"/>
              </w:rPr>
              <w:t>Part</w:t>
            </w:r>
          </w:p>
        </w:tc>
        <w:tc>
          <w:tcPr>
            <w:tcW w:type="dxa" w:w="3384"/>
            <w:vAlign w:val="center"/>
            <w:shd w:fill="E8EEF5"/>
          </w:tcPr>
          <w:p>
            <w:pPr>
              <w:spacing w:after="0"/>
            </w:pPr>
            <w:r/>
            <w:r>
              <w:rPr>
                <w:rFonts w:ascii="Calibri" w:hAnsi="Calibri"/>
                <w:b/>
                <w:color w:val="000000"/>
                <w:sz w:val="18"/>
              </w:rPr>
              <w:t>Artifact group</w:t>
            </w:r>
          </w:p>
        </w:tc>
        <w:tc>
          <w:tcPr>
            <w:tcW w:type="dxa" w:w="4824"/>
            <w:vAlign w:val="center"/>
            <w:shd w:fill="E8EEF5"/>
          </w:tcPr>
          <w:p>
            <w:pPr>
              <w:spacing w:after="0"/>
            </w:pPr>
            <w:r/>
            <w:r>
              <w:rPr>
                <w:rFonts w:ascii="Calibri" w:hAnsi="Calibri"/>
                <w:b/>
                <w:color w:val="000000"/>
                <w:sz w:val="18"/>
              </w:rPr>
              <w:t>Contents</w:t>
            </w:r>
          </w:p>
        </w:tc>
      </w:tr>
      <w:tr>
        <w:tc>
          <w:tcPr>
            <w:tcW w:type="dxa" w:w="792"/>
            <w:vAlign w:val="center"/>
          </w:tcPr>
          <w:p>
            <w:pPr>
              <w:spacing w:after="0"/>
            </w:pPr>
            <w:r/>
            <w:r>
              <w:rPr>
                <w:rFonts w:ascii="Calibri" w:hAnsi="Calibri"/>
                <w:b w:val="0"/>
                <w:sz w:val="18"/>
              </w:rPr>
              <w:t>1</w:t>
            </w:r>
          </w:p>
        </w:tc>
        <w:tc>
          <w:tcPr>
            <w:tcW w:type="dxa" w:w="3384"/>
            <w:vAlign w:val="center"/>
          </w:tcPr>
          <w:p>
            <w:pPr>
              <w:spacing w:after="0"/>
            </w:pPr>
            <w:r/>
            <w:r>
              <w:rPr>
                <w:rFonts w:ascii="Calibri" w:hAnsi="Calibri"/>
                <w:b w:val="0"/>
                <w:sz w:val="18"/>
              </w:rPr>
              <w:t>threshold_optimizer/</w:t>
            </w:r>
          </w:p>
        </w:tc>
        <w:tc>
          <w:tcPr>
            <w:tcW w:type="dxa" w:w="4824"/>
            <w:vAlign w:val="center"/>
          </w:tcPr>
          <w:p>
            <w:pPr>
              <w:spacing w:after="0"/>
            </w:pPr>
            <w:r/>
            <w:r>
              <w:rPr>
                <w:rFonts w:ascii="Calibri" w:hAnsi="Calibri"/>
                <w:b w:val="0"/>
                <w:sz w:val="18"/>
              </w:rPr>
              <w:t>Three masks, three slice comparisons, and threshold selection memo.</w:t>
            </w:r>
          </w:p>
        </w:tc>
      </w:tr>
      <w:tr>
        <w:tc>
          <w:tcPr>
            <w:tcW w:type="dxa" w:w="792"/>
            <w:vAlign w:val="center"/>
          </w:tcPr>
          <w:p>
            <w:pPr>
              <w:spacing w:after="0"/>
            </w:pPr>
            <w:r/>
            <w:r>
              <w:rPr>
                <w:rFonts w:ascii="Calibri" w:hAnsi="Calibri"/>
                <w:b w:val="0"/>
                <w:sz w:val="18"/>
              </w:rPr>
              <w:t>1</w:t>
            </w:r>
          </w:p>
        </w:tc>
        <w:tc>
          <w:tcPr>
            <w:tcW w:type="dxa" w:w="3384"/>
            <w:vAlign w:val="center"/>
          </w:tcPr>
          <w:p>
            <w:pPr>
              <w:spacing w:after="0"/>
            </w:pPr>
            <w:r/>
            <w:r>
              <w:rPr>
                <w:rFonts w:ascii="Calibri" w:hAnsi="Calibri"/>
                <w:b w:val="0"/>
                <w:sz w:val="18"/>
              </w:rPr>
              <w:t>unitcell_mask.npy; unitcell_skeleton.npy</w:t>
            </w:r>
          </w:p>
        </w:tc>
        <w:tc>
          <w:tcPr>
            <w:tcW w:type="dxa" w:w="4824"/>
            <w:vAlign w:val="center"/>
          </w:tcPr>
          <w:p>
            <w:pPr>
              <w:spacing w:after="0"/>
            </w:pPr>
            <w:r/>
            <w:r>
              <w:rPr>
                <w:rFonts w:ascii="Calibri" w:hAnsi="Calibri"/>
                <w:b w:val="0"/>
                <w:sz w:val="18"/>
              </w:rPr>
              <w:t>Selected segmentation and skeleton arrays.</w:t>
            </w:r>
          </w:p>
        </w:tc>
      </w:tr>
      <w:tr>
        <w:tc>
          <w:tcPr>
            <w:tcW w:type="dxa" w:w="792"/>
            <w:vAlign w:val="center"/>
          </w:tcPr>
          <w:p>
            <w:pPr>
              <w:spacing w:after="0"/>
            </w:pPr>
            <w:r/>
            <w:r>
              <w:rPr>
                <w:rFonts w:ascii="Calibri" w:hAnsi="Calibri"/>
                <w:b w:val="0"/>
                <w:sz w:val="18"/>
              </w:rPr>
              <w:t>1</w:t>
            </w:r>
          </w:p>
        </w:tc>
        <w:tc>
          <w:tcPr>
            <w:tcW w:type="dxa" w:w="3384"/>
            <w:vAlign w:val="center"/>
          </w:tcPr>
          <w:p>
            <w:pPr>
              <w:spacing w:after="0"/>
            </w:pPr>
            <w:r/>
            <w:r>
              <w:rPr>
                <w:rFonts w:ascii="Calibri" w:hAnsi="Calibri"/>
                <w:b w:val="0"/>
                <w:sz w:val="18"/>
              </w:rPr>
              <w:t>nde_report/</w:t>
            </w:r>
          </w:p>
        </w:tc>
        <w:tc>
          <w:tcPr>
            <w:tcW w:type="dxa" w:w="4824"/>
            <w:vAlign w:val="center"/>
          </w:tcPr>
          <w:p>
            <w:pPr>
              <w:spacing w:after="0"/>
            </w:pPr>
            <w:r/>
            <w:r>
              <w:rPr>
                <w:rFonts w:ascii="Calibri" w:hAnsi="Calibri"/>
                <w:b w:val="0"/>
                <w:sz w:val="18"/>
              </w:rPr>
              <w:t>Markdown NDE report and two 3D renders.</w:t>
            </w:r>
          </w:p>
        </w:tc>
      </w:tr>
      <w:tr>
        <w:tc>
          <w:tcPr>
            <w:tcW w:type="dxa" w:w="792"/>
            <w:vAlign w:val="center"/>
          </w:tcPr>
          <w:p>
            <w:pPr>
              <w:spacing w:after="0"/>
            </w:pPr>
            <w:r/>
            <w:r>
              <w:rPr>
                <w:rFonts w:ascii="Calibri" w:hAnsi="Calibri"/>
                <w:b w:val="0"/>
                <w:sz w:val="18"/>
              </w:rPr>
              <w:t>1</w:t>
            </w:r>
          </w:p>
        </w:tc>
        <w:tc>
          <w:tcPr>
            <w:tcW w:type="dxa" w:w="3384"/>
            <w:vAlign w:val="center"/>
          </w:tcPr>
          <w:p>
            <w:pPr>
              <w:spacing w:after="0"/>
            </w:pPr>
            <w:r/>
            <w:r>
              <w:rPr>
                <w:rFonts w:ascii="Calibri" w:hAnsi="Calibri"/>
                <w:b w:val="0"/>
                <w:sz w:val="18"/>
              </w:rPr>
              <w:t>registered_strut_screen/</w:t>
            </w:r>
          </w:p>
        </w:tc>
        <w:tc>
          <w:tcPr>
            <w:tcW w:type="dxa" w:w="4824"/>
            <w:vAlign w:val="center"/>
          </w:tcPr>
          <w:p>
            <w:pPr>
              <w:spacing w:after="0"/>
            </w:pPr>
            <w:r/>
            <w:r>
              <w:rPr>
                <w:rFonts w:ascii="Calibri" w:hAnsi="Calibri"/>
                <w:b w:val="0"/>
                <w:sz w:val="18"/>
              </w:rPr>
              <w:t>Registered strut screen CSV and JSON.</w:t>
            </w:r>
          </w:p>
        </w:tc>
      </w:tr>
      <w:tr>
        <w:tc>
          <w:tcPr>
            <w:tcW w:type="dxa" w:w="792"/>
            <w:vAlign w:val="center"/>
          </w:tcPr>
          <w:p>
            <w:pPr>
              <w:spacing w:after="0"/>
            </w:pPr>
            <w:r/>
            <w:r>
              <w:rPr>
                <w:rFonts w:ascii="Calibri" w:hAnsi="Calibri"/>
                <w:b w:val="0"/>
                <w:sz w:val="18"/>
              </w:rPr>
              <w:t>2</w:t>
            </w:r>
          </w:p>
        </w:tc>
        <w:tc>
          <w:tcPr>
            <w:tcW w:type="dxa" w:w="3384"/>
            <w:vAlign w:val="center"/>
          </w:tcPr>
          <w:p>
            <w:pPr>
              <w:spacing w:after="0"/>
            </w:pPr>
            <w:r/>
            <w:r>
              <w:rPr>
                <w:rFonts w:ascii="Calibri" w:hAnsi="Calibri"/>
                <w:b w:val="0"/>
                <w:sz w:val="18"/>
              </w:rPr>
              <w:t>metadata/; graph_comparison/</w:t>
            </w:r>
          </w:p>
        </w:tc>
        <w:tc>
          <w:tcPr>
            <w:tcW w:type="dxa" w:w="4824"/>
            <w:vAlign w:val="center"/>
          </w:tcPr>
          <w:p>
            <w:pPr>
              <w:spacing w:after="0"/>
            </w:pPr>
            <w:r/>
            <w:r>
              <w:rPr>
                <w:rFonts w:ascii="Calibri" w:hAnsi="Calibri"/>
                <w:b w:val="0"/>
                <w:sz w:val="18"/>
              </w:rPr>
              <w:t>Dataset inventory and registered graph comparison artifacts.</w:t>
            </w:r>
          </w:p>
        </w:tc>
      </w:tr>
      <w:tr>
        <w:tc>
          <w:tcPr>
            <w:tcW w:type="dxa" w:w="792"/>
            <w:vAlign w:val="center"/>
          </w:tcPr>
          <w:p>
            <w:pPr>
              <w:spacing w:after="0"/>
            </w:pPr>
            <w:r/>
            <w:r>
              <w:rPr>
                <w:rFonts w:ascii="Calibri" w:hAnsi="Calibri"/>
                <w:b w:val="0"/>
                <w:sz w:val="18"/>
              </w:rPr>
              <w:t>2</w:t>
            </w:r>
          </w:p>
        </w:tc>
        <w:tc>
          <w:tcPr>
            <w:tcW w:type="dxa" w:w="3384"/>
            <w:vAlign w:val="center"/>
          </w:tcPr>
          <w:p>
            <w:pPr>
              <w:spacing w:after="0"/>
            </w:pPr>
            <w:r/>
            <w:r>
              <w:rPr>
                <w:rFonts w:ascii="Calibri" w:hAnsi="Calibri"/>
                <w:b w:val="0"/>
                <w:sz w:val="18"/>
              </w:rPr>
              <w:t>refined_registration_20260728/</w:t>
            </w:r>
          </w:p>
        </w:tc>
        <w:tc>
          <w:tcPr>
            <w:tcW w:type="dxa" w:w="4824"/>
            <w:vAlign w:val="center"/>
          </w:tcPr>
          <w:p>
            <w:pPr>
              <w:spacing w:after="0"/>
            </w:pPr>
            <w:r/>
            <w:r>
              <w:rPr>
                <w:rFonts w:ascii="Calibri" w:hAnsi="Calibri"/>
                <w:b w:val="0"/>
                <w:sz w:val="18"/>
              </w:rPr>
              <w:t>Authoritative readout plus radius-1, radius-2, and radius-3 runs.</w:t>
            </w:r>
          </w:p>
        </w:tc>
      </w:tr>
      <w:tr>
        <w:tc>
          <w:tcPr>
            <w:tcW w:type="dxa" w:w="792"/>
            <w:vAlign w:val="center"/>
          </w:tcPr>
          <w:p>
            <w:pPr>
              <w:spacing w:after="0"/>
            </w:pPr>
            <w:r/>
            <w:r>
              <w:rPr>
                <w:rFonts w:ascii="Calibri" w:hAnsi="Calibri"/>
                <w:b w:val="0"/>
                <w:sz w:val="18"/>
              </w:rPr>
              <w:t>2</w:t>
            </w:r>
          </w:p>
        </w:tc>
        <w:tc>
          <w:tcPr>
            <w:tcW w:type="dxa" w:w="3384"/>
            <w:vAlign w:val="center"/>
          </w:tcPr>
          <w:p>
            <w:pPr>
              <w:spacing w:after="0"/>
            </w:pPr>
            <w:r/>
            <w:r>
              <w:rPr>
                <w:rFonts w:ascii="Calibri" w:hAnsi="Calibri"/>
                <w:b w:val="0"/>
                <w:sz w:val="18"/>
              </w:rPr>
              <w:t>tube_r2/strut_candidates.csv</w:t>
            </w:r>
          </w:p>
        </w:tc>
        <w:tc>
          <w:tcPr>
            <w:tcW w:type="dxa" w:w="4824"/>
            <w:vAlign w:val="center"/>
          </w:tcPr>
          <w:p>
            <w:pPr>
              <w:spacing w:after="0"/>
            </w:pPr>
            <w:r/>
            <w:r>
              <w:rPr>
                <w:rFonts w:ascii="Calibri" w:hAnsi="Calibri"/>
                <w:b w:val="0"/>
                <w:sz w:val="18"/>
              </w:rPr>
              <w:t>All 18,468 per-strut candidate records for the retained setting.</w:t>
            </w:r>
          </w:p>
        </w:tc>
      </w:tr>
      <w:tr>
        <w:tc>
          <w:tcPr>
            <w:tcW w:type="dxa" w:w="792"/>
            <w:vAlign w:val="center"/>
          </w:tcPr>
          <w:p>
            <w:pPr>
              <w:spacing w:after="0"/>
            </w:pPr>
            <w:r/>
            <w:r>
              <w:rPr>
                <w:rFonts w:ascii="Calibri" w:hAnsi="Calibri"/>
                <w:b w:val="0"/>
                <w:sz w:val="18"/>
              </w:rPr>
              <w:t>2</w:t>
            </w:r>
          </w:p>
        </w:tc>
        <w:tc>
          <w:tcPr>
            <w:tcW w:type="dxa" w:w="3384"/>
            <w:vAlign w:val="center"/>
          </w:tcPr>
          <w:p>
            <w:pPr>
              <w:spacing w:after="0"/>
            </w:pPr>
            <w:r/>
            <w:r>
              <w:rPr>
                <w:rFonts w:ascii="Calibri" w:hAnsi="Calibri"/>
                <w:b w:val="0"/>
                <w:sz w:val="18"/>
              </w:rPr>
              <w:t>registered_screen_20260728/</w:t>
            </w:r>
          </w:p>
        </w:tc>
        <w:tc>
          <w:tcPr>
            <w:tcW w:type="dxa" w:w="4824"/>
            <w:vAlign w:val="center"/>
          </w:tcPr>
          <w:p>
            <w:pPr>
              <w:spacing w:after="0"/>
            </w:pPr>
            <w:r/>
            <w:r>
              <w:rPr>
                <w:rFonts w:ascii="Calibri" w:hAnsi="Calibri"/>
                <w:b w:val="0"/>
                <w:sz w:val="18"/>
              </w:rPr>
              <w:t>Supplemental distance-screen sensitivity, overlay, provenance, and interactive scene.</w:t>
            </w:r>
          </w:p>
        </w:tc>
      </w:tr>
      <w:tr>
        <w:tc>
          <w:tcPr>
            <w:tcW w:type="dxa" w:w="792"/>
            <w:vAlign w:val="center"/>
          </w:tcPr>
          <w:p>
            <w:pPr>
              <w:spacing w:after="0"/>
            </w:pPr>
            <w:r/>
            <w:r>
              <w:rPr>
                <w:rFonts w:ascii="Calibri" w:hAnsi="Calibri"/>
                <w:b w:val="0"/>
                <w:sz w:val="18"/>
              </w:rPr>
              <w:t>2</w:t>
            </w:r>
          </w:p>
        </w:tc>
        <w:tc>
          <w:tcPr>
            <w:tcW w:type="dxa" w:w="3384"/>
            <w:vAlign w:val="center"/>
          </w:tcPr>
          <w:p>
            <w:pPr>
              <w:spacing w:after="0"/>
            </w:pPr>
            <w:r/>
            <w:r>
              <w:rPr>
                <w:rFonts w:ascii="Calibri" w:hAnsi="Calibri"/>
                <w:b w:val="0"/>
                <w:sz w:val="18"/>
              </w:rPr>
              <w:t>visual_repair*/</w:t>
            </w:r>
          </w:p>
        </w:tc>
        <w:tc>
          <w:tcPr>
            <w:tcW w:type="dxa" w:w="4824"/>
            <w:vAlign w:val="center"/>
          </w:tcPr>
          <w:p>
            <w:pPr>
              <w:spacing w:after="0"/>
            </w:pPr>
            <w:r/>
            <w:r>
              <w:rPr>
                <w:rFonts w:ascii="Calibri" w:hAnsi="Calibri"/>
                <w:b w:val="0"/>
                <w:sz w:val="18"/>
              </w:rPr>
              <w:t>Historical non-FEA candidate-repair scenarios; not physical recommendations.</w:t>
            </w:r>
          </w:p>
        </w:tc>
      </w:tr>
    </w:tbl>
    <w:p>
      <w:pPr>
        <w:spacing w:after="40"/>
      </w:pPr>
    </w:p>
    <w:p>
      <w:pPr>
        <w:pStyle w:val="Heading1"/>
      </w:pPr>
      <w:r>
        <w:t>Appendix B. Reproducibility and Audit Notes</w:t>
      </w:r>
    </w:p>
    <w:p>
      <w:pPr>
        <w:pStyle w:val="ListBullet"/>
        <w:spacing w:after="60"/>
      </w:pPr>
      <w:r>
        <w:t>Part 1 source volume: data/unitcell/unitcell.npy. Selected threshold: 0.005813.</w:t>
      </w:r>
    </w:p>
    <w:p>
      <w:pPr>
        <w:pStyle w:val="ListBullet"/>
        <w:spacing w:after="60"/>
      </w:pPr>
      <w:r>
        <w:t>Part 2 source CT: data/missing_struts/tif_stacks/210127_Brian_Tran_strut_lattices_0point5dash1 1 Slices.tif.</w:t>
      </w:r>
    </w:p>
    <w:p>
      <w:pPr>
        <w:pStyle w:val="ListBullet"/>
        <w:spacing w:after="60"/>
      </w:pPr>
      <w:r>
        <w:t>Part 2 registered graph: data/missing_struts/registered_jsons/210127_Brian_Tran_strut_lattices_0point5dash1 1 Slices.json.</w:t>
      </w:r>
    </w:p>
    <w:p>
      <w:pPr>
        <w:pStyle w:val="ListBullet"/>
        <w:spacing w:after="60"/>
      </w:pPr>
      <w:r>
        <w:t>Authoritative Part 2 output: output/part2/refined_registration_20260728/tube_r2/.</w:t>
      </w:r>
    </w:p>
    <w:p>
      <w:pPr>
        <w:pStyle w:val="ListBullet"/>
        <w:spacing w:after="60"/>
      </w:pPr>
      <w:r>
        <w:t>Full artifact listing: output/DELIVERABLES.md.</w:t>
      </w:r>
    </w:p>
    <w:p>
      <w:pPr>
        <w:spacing w:after="120" w:line="264" w:lineRule="auto"/>
      </w:pPr>
      <w:r>
        <w:t>End of submission report.</w:t>
      </w:r>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Technical report | Registered CT/graph workflow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LLNL DSSI 2026 | Lattice CT Inspection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