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68"/>
          <w:sz w:val="33"/>
        </w:rPr>
        <w:t>TripMate: Phase 2 Progress Notes</w:t>
      </w:r>
    </w:p>
    <w:p>
      <w:pPr>
        <w:spacing w:after="40"/>
        <w:jc w:val="center"/>
      </w:pPr>
      <w:r>
        <w:rPr>
          <w:b/>
          <w:sz w:val="22"/>
        </w:rPr>
        <w:t>Progress update, screenshots and repository link</w:t>
      </w:r>
    </w:p>
    <w:p>
      <w:pPr>
        <w:spacing w:after="20"/>
        <w:jc w:val="center"/>
      </w:pPr>
      <w:r>
        <w:rPr>
          <w:sz w:val="18"/>
        </w:rPr>
        <w:t>Group No.: ______  ·  Course: Generative AI (PSIS activity)  ·  Activity 2: Tool-Augmented / Agentic LLM Application</w:t>
      </w:r>
    </w:p>
    <w:p>
      <w:pPr>
        <w:spacing w:after="20"/>
        <w:jc w:val="center"/>
      </w:pPr>
      <w:r>
        <w:rPr>
          <w:sz w:val="18"/>
        </w:rPr>
        <w:t>Submission date: 23 September 2026</w:t>
      </w:r>
    </w:p>
    <w:p>
      <w:pPr>
        <w:spacing w:after="20"/>
        <w:jc w:val="center"/>
      </w:pPr>
      <w:r>
        <w:rPr>
          <w:sz w:val="18"/>
        </w:rPr>
        <w:t xml:space="preserve">Repository: https://github.com/ananydoneria/tripmate  ·  Notebook: </w:t>
      </w:r>
      <w:r>
        <w:rPr>
          <w:rFonts w:ascii="Courier New" w:hAnsi="Courier New" w:eastAsia="Courier New"/>
          <w:sz w:val="16"/>
        </w:rPr>
        <w:t>TripMate_Agent.ipynb</w:t>
      </w:r>
    </w:p>
    <w:p>
      <w:pPr>
        <w:pBdr>
          <w:bottom w:val="single" w:sz="8" w:space="1" w:color="1F3A68"/>
        </w:pBdr>
        <w:spacing w:after="80"/>
      </w:pPr>
    </w:p>
    <w:p>
      <w:pPr>
        <w:pStyle w:val="Heading2"/>
      </w:pPr>
      <w:r>
        <w:t>1. What works now</w:t>
      </w:r>
    </w:p>
    <w:tbl>
      <w:tblPr>
        <w:tblStyle w:val="TableGrid"/>
        <w:tblW w:type="auto" w:w="0"/>
        <w:jc w:val="center"/>
        <w:tblLayout w:type="fixed"/>
        <w:tblLook w:firstColumn="1" w:firstRow="1" w:lastColumn="0" w:lastRow="0" w:noHBand="0" w:noVBand="1" w:val="04A0"/>
      </w:tblPr>
      <w:tblGrid>
        <w:gridCol w:w="3364"/>
        <w:gridCol w:w="3364"/>
        <w:gridCol w:w="3364"/>
      </w:tblGrid>
      <w:tr>
        <w:tc>
          <w:tcPr>
            <w:tcW w:type="dxa" w:w="4082"/>
            <w:shd w:val="clear" w:color="auto" w:fill="DCE4F2"/>
          </w:tcPr>
          <w:p>
            <w:pPr>
              <w:spacing w:after="0" w:line="240" w:lineRule="auto"/>
            </w:pPr>
            <w:r>
              <w:rPr>
                <w:b/>
                <w:sz w:val="17"/>
              </w:rPr>
              <w:t>Part</w:t>
            </w:r>
          </w:p>
        </w:tc>
        <w:tc>
          <w:tcPr>
            <w:tcW w:type="dxa" w:w="1474"/>
            <w:shd w:val="clear" w:color="auto" w:fill="DCE4F2"/>
          </w:tcPr>
          <w:p>
            <w:pPr>
              <w:spacing w:after="0" w:line="240" w:lineRule="auto"/>
            </w:pPr>
            <w:r>
              <w:rPr>
                <w:b/>
                <w:sz w:val="17"/>
              </w:rPr>
              <w:t>Status</w:t>
            </w:r>
          </w:p>
        </w:tc>
        <w:tc>
          <w:tcPr>
            <w:tcW w:type="dxa" w:w="4535"/>
            <w:shd w:val="clear" w:color="auto" w:fill="DCE4F2"/>
          </w:tcPr>
          <w:p>
            <w:pPr>
              <w:spacing w:after="0" w:line="240" w:lineRule="auto"/>
            </w:pPr>
            <w:r>
              <w:rPr>
                <w:b/>
                <w:sz w:val="17"/>
              </w:rPr>
              <w:t>Evidence</w:t>
            </w:r>
          </w:p>
        </w:tc>
      </w:tr>
      <w:tr>
        <w:tc>
          <w:tcPr>
            <w:tcW w:type="dxa" w:w="4082"/>
          </w:tcPr>
          <w:p>
            <w:pPr>
              <w:spacing w:after="0" w:line="240" w:lineRule="auto"/>
            </w:pPr>
            <w:r>
              <w:rPr>
                <w:sz w:val="17"/>
              </w:rPr>
              <w:t>6 tools (geocoding, weather, currency, holidays, Wikivoyage guide, budget)</w:t>
            </w:r>
          </w:p>
        </w:tc>
        <w:tc>
          <w:tcPr>
            <w:tcW w:type="dxa" w:w="1474"/>
          </w:tcPr>
          <w:p>
            <w:pPr>
              <w:spacing w:after="0" w:line="240" w:lineRule="auto"/>
            </w:pPr>
            <w:r>
              <w:rPr>
                <w:sz w:val="17"/>
              </w:rPr>
              <w:t>Working</w:t>
            </w:r>
          </w:p>
        </w:tc>
        <w:tc>
          <w:tcPr>
            <w:tcW w:type="dxa" w:w="4535"/>
          </w:tcPr>
          <w:p>
            <w:pPr>
              <w:spacing w:after="0" w:line="240" w:lineRule="auto"/>
            </w:pPr>
            <w:r>
              <w:rPr>
                <w:sz w:val="17"/>
              </w:rPr>
              <w:t>Tested against the live APIs; 23 offline unit tests with mocked HTTP</w:t>
            </w:r>
          </w:p>
        </w:tc>
      </w:tr>
      <w:tr>
        <w:tc>
          <w:tcPr>
            <w:tcW w:type="dxa" w:w="4082"/>
          </w:tcPr>
          <w:p>
            <w:pPr>
              <w:spacing w:after="0" w:line="240" w:lineRule="auto"/>
            </w:pPr>
            <w:r>
              <w:rPr>
                <w:sz w:val="17"/>
              </w:rPr>
              <w:t xml:space="preserve">Agent: </w:t>
            </w:r>
            <w:r>
              <w:rPr>
                <w:rFonts w:ascii="Courier New" w:hAnsi="Courier New" w:eastAsia="Courier New"/>
                <w:sz w:val="16"/>
              </w:rPr>
              <w:t>create_agent</w:t>
            </w:r>
            <w:r>
              <w:rPr>
                <w:sz w:val="17"/>
              </w:rPr>
              <w:t xml:space="preserve"> + Gemini tool calling</w:t>
            </w:r>
          </w:p>
        </w:tc>
        <w:tc>
          <w:tcPr>
            <w:tcW w:type="dxa" w:w="1474"/>
          </w:tcPr>
          <w:p>
            <w:pPr>
              <w:spacing w:after="0" w:line="240" w:lineRule="auto"/>
            </w:pPr>
            <w:r>
              <w:rPr>
                <w:sz w:val="17"/>
              </w:rPr>
              <w:t>Working</w:t>
            </w:r>
          </w:p>
        </w:tc>
        <w:tc>
          <w:tcPr>
            <w:tcW w:type="dxa" w:w="4535"/>
          </w:tcPr>
          <w:p>
            <w:pPr>
              <w:spacing w:after="0" w:line="240" w:lineRule="auto"/>
            </w:pPr>
            <w:r>
              <w:rPr>
                <w:sz w:val="17"/>
              </w:rPr>
              <w:t>Multi-tool plans (Jaipur: 8 tool calls in one turn)</w:t>
            </w:r>
          </w:p>
        </w:tc>
      </w:tr>
      <w:tr>
        <w:tc>
          <w:tcPr>
            <w:tcW w:type="dxa" w:w="4082"/>
          </w:tcPr>
          <w:p>
            <w:pPr>
              <w:spacing w:after="0" w:line="240" w:lineRule="auto"/>
            </w:pPr>
            <w:r>
              <w:rPr>
                <w:sz w:val="17"/>
              </w:rPr>
              <w:t xml:space="preserve">System </w:t>
            </w:r>
            <w:r>
              <w:rPr>
                <w:rFonts w:ascii="Courier New" w:hAnsi="Courier New" w:eastAsia="Courier New"/>
                <w:sz w:val="16"/>
              </w:rPr>
              <w:t>PromptTemplate</w:t>
            </w:r>
            <w:r>
              <w:rPr>
                <w:sz w:val="17"/>
              </w:rPr>
              <w:t xml:space="preserve"> with grounding and failure rules</w:t>
            </w:r>
          </w:p>
        </w:tc>
        <w:tc>
          <w:tcPr>
            <w:tcW w:type="dxa" w:w="1474"/>
          </w:tcPr>
          <w:p>
            <w:pPr>
              <w:spacing w:after="0" w:line="240" w:lineRule="auto"/>
            </w:pPr>
            <w:r>
              <w:rPr>
                <w:sz w:val="17"/>
              </w:rPr>
              <w:t>Working</w:t>
            </w:r>
          </w:p>
        </w:tc>
        <w:tc>
          <w:tcPr>
            <w:tcW w:type="dxa" w:w="4535"/>
          </w:tcPr>
          <w:p>
            <w:pPr>
              <w:spacing w:after="0" w:line="240" w:lineRule="auto"/>
            </w:pPr>
            <w:r>
              <w:rPr>
                <w:sz w:val="17"/>
              </w:rPr>
              <w:t>Rendered per call with today's date; relative dates resolved correctly</w:t>
            </w:r>
          </w:p>
        </w:tc>
      </w:tr>
      <w:tr>
        <w:tc>
          <w:tcPr>
            <w:tcW w:type="dxa" w:w="4082"/>
          </w:tcPr>
          <w:p>
            <w:pPr>
              <w:spacing w:after="0" w:line="240" w:lineRule="auto"/>
            </w:pPr>
            <w:r>
              <w:rPr>
                <w:sz w:val="17"/>
              </w:rPr>
              <w:t>Memory (LangGraph checkpointer)</w:t>
            </w:r>
          </w:p>
        </w:tc>
        <w:tc>
          <w:tcPr>
            <w:tcW w:type="dxa" w:w="1474"/>
          </w:tcPr>
          <w:p>
            <w:pPr>
              <w:spacing w:after="0" w:line="240" w:lineRule="auto"/>
            </w:pPr>
            <w:r>
              <w:rPr>
                <w:sz w:val="17"/>
              </w:rPr>
              <w:t>Working</w:t>
            </w:r>
          </w:p>
        </w:tc>
        <w:tc>
          <w:tcPr>
            <w:tcW w:type="dxa" w:w="4535"/>
          </w:tcPr>
          <w:p>
            <w:pPr>
              <w:spacing w:after="0" w:line="240" w:lineRule="auto"/>
            </w:pPr>
            <w:r>
              <w:rPr>
                <w:sz w:val="17"/>
              </w:rPr>
              <w:t>Follow-up turns reuse city and dates</w:t>
            </w:r>
          </w:p>
        </w:tc>
      </w:tr>
      <w:tr>
        <w:tc>
          <w:tcPr>
            <w:tcW w:type="dxa" w:w="4082"/>
          </w:tcPr>
          <w:p>
            <w:pPr>
              <w:spacing w:after="0" w:line="240" w:lineRule="auto"/>
            </w:pPr>
            <w:r>
              <w:rPr>
                <w:rFonts w:ascii="Courier New" w:hAnsi="Courier New" w:eastAsia="Courier New"/>
                <w:sz w:val="16"/>
              </w:rPr>
              <w:t>PydanticOutputParser</w:t>
            </w:r>
            <w:r>
              <w:rPr>
                <w:sz w:val="17"/>
              </w:rPr>
              <w:t xml:space="preserve"> itinerary chain with repair fallback</w:t>
            </w:r>
          </w:p>
        </w:tc>
        <w:tc>
          <w:tcPr>
            <w:tcW w:type="dxa" w:w="1474"/>
          </w:tcPr>
          <w:p>
            <w:pPr>
              <w:spacing w:after="0" w:line="240" w:lineRule="auto"/>
            </w:pPr>
            <w:r>
              <w:rPr>
                <w:sz w:val="17"/>
              </w:rPr>
              <w:t>Working</w:t>
            </w:r>
          </w:p>
        </w:tc>
        <w:tc>
          <w:tcPr>
            <w:tcW w:type="dxa" w:w="4535"/>
          </w:tcPr>
          <w:p>
            <w:pPr>
              <w:spacing w:after="0" w:line="240" w:lineRule="auto"/>
            </w:pPr>
            <w:r>
              <w:rPr>
                <w:sz w:val="17"/>
              </w:rPr>
              <w:t>Valid JSON for 3-day plans; repair path unit-tested with a fake LLM</w:t>
            </w:r>
          </w:p>
        </w:tc>
      </w:tr>
      <w:tr>
        <w:tc>
          <w:tcPr>
            <w:tcW w:type="dxa" w:w="4082"/>
          </w:tcPr>
          <w:p>
            <w:pPr>
              <w:spacing w:after="0" w:line="240" w:lineRule="auto"/>
            </w:pPr>
            <w:r>
              <w:rPr>
                <w:sz w:val="17"/>
              </w:rPr>
              <w:t>Failure handling: outages, 429, HTTP 204, unknown places</w:t>
            </w:r>
          </w:p>
        </w:tc>
        <w:tc>
          <w:tcPr>
            <w:tcW w:type="dxa" w:w="1474"/>
          </w:tcPr>
          <w:p>
            <w:pPr>
              <w:spacing w:after="0" w:line="240" w:lineRule="auto"/>
            </w:pPr>
            <w:r>
              <w:rPr>
                <w:sz w:val="17"/>
              </w:rPr>
              <w:t>Working</w:t>
            </w:r>
          </w:p>
        </w:tc>
        <w:tc>
          <w:tcPr>
            <w:tcW w:type="dxa" w:w="4535"/>
          </w:tcPr>
          <w:p>
            <w:pPr>
              <w:spacing w:after="0" w:line="240" w:lineRule="auto"/>
            </w:pPr>
            <w:r>
              <w:rPr>
                <w:sz w:val="17"/>
              </w:rPr>
              <w:t xml:space="preserve">Outage simulation switch; structured </w:t>
            </w:r>
            <w:r>
              <w:rPr>
                <w:rFonts w:ascii="Courier New" w:hAnsi="Courier New" w:eastAsia="Courier New"/>
                <w:sz w:val="16"/>
              </w:rPr>
              <w:t>{ok: false, hint}</w:t>
            </w:r>
            <w:r>
              <w:rPr>
                <w:sz w:val="17"/>
              </w:rPr>
              <w:t xml:space="preserve"> results</w:t>
            </w:r>
          </w:p>
        </w:tc>
      </w:tr>
      <w:tr>
        <w:tc>
          <w:tcPr>
            <w:tcW w:type="dxa" w:w="4082"/>
          </w:tcPr>
          <w:p>
            <w:pPr>
              <w:spacing w:after="0" w:line="240" w:lineRule="auto"/>
            </w:pPr>
            <w:r>
              <w:rPr>
                <w:sz w:val="17"/>
              </w:rPr>
              <w:t>Streamlit UI and CLI</w:t>
            </w:r>
          </w:p>
        </w:tc>
        <w:tc>
          <w:tcPr>
            <w:tcW w:type="dxa" w:w="1474"/>
          </w:tcPr>
          <w:p>
            <w:pPr>
              <w:spacing w:after="0" w:line="240" w:lineRule="auto"/>
            </w:pPr>
            <w:r>
              <w:rPr>
                <w:sz w:val="17"/>
              </w:rPr>
              <w:t>Working, polishing</w:t>
            </w:r>
          </w:p>
        </w:tc>
        <w:tc>
          <w:tcPr>
            <w:tcW w:type="dxa" w:w="4535"/>
          </w:tcPr>
          <w:p>
            <w:pPr>
              <w:spacing w:after="0" w:line="240" w:lineRule="auto"/>
            </w:pPr>
            <w:r>
              <w:rPr>
                <w:sz w:val="17"/>
              </w:rPr>
              <w:t>Tool-trace panel, outage switches</w:t>
            </w:r>
          </w:p>
        </w:tc>
      </w:tr>
      <w:tr>
        <w:tc>
          <w:tcPr>
            <w:tcW w:type="dxa" w:w="4082"/>
          </w:tcPr>
          <w:p>
            <w:pPr>
              <w:spacing w:after="0" w:line="240" w:lineRule="auto"/>
            </w:pPr>
            <w:r>
              <w:rPr>
                <w:sz w:val="17"/>
              </w:rPr>
              <w:t>Live evaluation (10 scenarios), report, video</w:t>
            </w:r>
          </w:p>
        </w:tc>
        <w:tc>
          <w:tcPr>
            <w:tcW w:type="dxa" w:w="1474"/>
          </w:tcPr>
          <w:p>
            <w:pPr>
              <w:spacing w:after="0" w:line="240" w:lineRule="auto"/>
            </w:pPr>
            <w:r>
              <w:rPr>
                <w:sz w:val="17"/>
              </w:rPr>
              <w:t>In progress</w:t>
            </w:r>
          </w:p>
        </w:tc>
        <w:tc>
          <w:tcPr>
            <w:tcW w:type="dxa" w:w="4535"/>
          </w:tcPr>
          <w:p>
            <w:pPr>
              <w:spacing w:after="0" w:line="240" w:lineRule="auto"/>
            </w:pPr>
            <w:r>
              <w:rPr>
                <w:sz w:val="17"/>
              </w:rPr>
              <w:t>Due in Phase 3</w:t>
            </w:r>
          </w:p>
        </w:tc>
      </w:tr>
    </w:tbl>
    <w:p>
      <w:pPr>
        <w:spacing w:after="40"/>
      </w:pPr>
    </w:p>
    <w:p>
      <w:pPr>
        <w:pStyle w:val="Heading2"/>
      </w:pPr>
      <w:r>
        <w:t>2. Output of the partially working system</w:t>
      </w:r>
    </w:p>
    <w:p>
      <w:pPr>
        <w:spacing w:after="40"/>
        <w:jc w:val="center"/>
      </w:pPr>
      <w:r>
        <w:drawing>
          <wp:inline xmlns:a="http://schemas.openxmlformats.org/drawingml/2006/main" xmlns:pic="http://schemas.openxmlformats.org/drawingml/2006/picture">
            <wp:extent cx="5580000" cy="2008800"/>
            <wp:docPr id="1" name="Picture 1"/>
            <wp:cNvGraphicFramePr>
              <a:graphicFrameLocks noChangeAspect="1"/>
            </wp:cNvGraphicFramePr>
            <a:graphic>
              <a:graphicData uri="http://schemas.openxmlformats.org/drawingml/2006/picture">
                <pic:pic>
                  <pic:nvPicPr>
                    <pic:cNvPr id="0" name="cli_screenshot.png"/>
                    <pic:cNvPicPr/>
                  </pic:nvPicPr>
                  <pic:blipFill>
                    <a:blip r:embed="rId9"/>
                    <a:stretch>
                      <a:fillRect/>
                    </a:stretch>
                  </pic:blipFill>
                  <pic:spPr>
                    <a:xfrm>
                      <a:off x="0" y="0"/>
                      <a:ext cx="5580000" cy="2008800"/>
                    </a:xfrm>
                    <a:prstGeom prst="rect"/>
                  </pic:spPr>
                </pic:pic>
              </a:graphicData>
            </a:graphic>
          </wp:inline>
        </w:drawing>
      </w:r>
    </w:p>
    <w:p>
      <w:pPr>
        <w:jc w:val="center"/>
      </w:pPr>
      <w:r>
        <w:rPr>
          <w:i/>
          <w:sz w:val="16"/>
        </w:rPr>
        <w:t xml:space="preserve">Figure 1. Real CLI session: the agent calls </w:t>
      </w:r>
      <w:r>
        <w:rPr>
          <w:rFonts w:ascii="Courier New" w:hAnsi="Courier New" w:eastAsia="Courier New"/>
          <w:i/>
          <w:sz w:val="14"/>
        </w:rPr>
        <w:t>convert_currency</w:t>
      </w:r>
      <w:r>
        <w:rPr>
          <w:i/>
          <w:sz w:val="16"/>
        </w:rPr>
        <w:t>; ECB rates lack AED, so the tool switches to the fallback provider and the answer reports the exact converted amount.</w:t>
      </w:r>
    </w:p>
    <w:p>
      <w:pPr>
        <w:pStyle w:val="Heading2"/>
      </w:pPr>
      <w:r>
        <w:t>3. Problems found so far and how we handled them</w:t>
      </w:r>
    </w:p>
    <w:p>
      <w:pPr>
        <w:pStyle w:val="ListBullet"/>
        <w:spacing w:after="30"/>
      </w:pPr>
      <w:r>
        <w:rPr>
          <w:b/>
          <w:sz w:val="19"/>
        </w:rPr>
        <w:t>Wrong place, no error.</w:t>
      </w:r>
      <w:r>
        <w:rPr>
          <w:sz w:val="19"/>
        </w:rPr>
        <w:t xml:space="preserve"> The geocoder ranks "Manali" in Tamil Nadu (population 35k) above the Himalayan hill station (8k). Tools now return the resolved place and the other matches, accept qualified names ("Manali, Himachal Pradesh"), and the prompt tells the LLM to check the place and retry.</w:t>
      </w:r>
    </w:p>
    <w:p>
      <w:pPr>
        <w:pStyle w:val="ListBullet"/>
        <w:spacing w:after="30"/>
      </w:pPr>
      <w:r>
        <w:rPr>
          <w:b/>
          <w:sz w:val="19"/>
        </w:rPr>
        <w:t>Qualifier bug.</w:t>
      </w:r>
      <w:r>
        <w:rPr>
          <w:sz w:val="19"/>
        </w:rPr>
        <w:t xml:space="preserve"> "Jaipur, Rajasthan, India" failed because only the first qualifier was compared. Found in a live run where the agent recovered by retrying with "Jaipur, India"; fixed so every qualifier must match.</w:t>
      </w:r>
    </w:p>
    <w:p>
      <w:pPr>
        <w:pStyle w:val="ListBullet"/>
        <w:spacing w:after="30"/>
      </w:pPr>
      <w:r>
        <w:rPr>
          <w:b/>
          <w:sz w:val="19"/>
        </w:rPr>
        <w:t>Gemini free-tier quota.</w:t>
      </w:r>
      <w:r>
        <w:rPr>
          <w:sz w:val="19"/>
        </w:rPr>
        <w:t xml:space="preserve"> HTTP 429 after 5 requests/minute on gemini-2.5-flash and after 20 requests/day on gemini-3.5-flash. Added LangChain's </w:t>
      </w:r>
      <w:r>
        <w:rPr>
          <w:rFonts w:ascii="Courier New" w:hAnsi="Courier New" w:eastAsia="Courier New"/>
          <w:sz w:val="17"/>
        </w:rPr>
        <w:t>InMemoryRateLimiter</w:t>
      </w:r>
      <w:r>
        <w:rPr>
          <w:sz w:val="19"/>
        </w:rPr>
        <w:t xml:space="preserve"> (4/min per model) and a fallback middleware that switches to gemini-3.5-flash-lite and skips the exhausted model for 10 minutes.</w:t>
      </w:r>
    </w:p>
    <w:p>
      <w:pPr>
        <w:pStyle w:val="ListBullet"/>
        <w:spacing w:after="30"/>
      </w:pPr>
      <w:r>
        <w:rPr>
          <w:b/>
          <w:sz w:val="19"/>
        </w:rPr>
        <w:t>Unexpected API responses.</w:t>
      </w:r>
      <w:r>
        <w:rPr>
          <w:sz w:val="19"/>
        </w:rPr>
        <w:t xml:space="preserve"> Wikivoyage rate-limits with a non-JSON 429 (</w:t>
      </w:r>
      <w:r>
        <w:rPr>
          <w:rFonts w:ascii="Courier New" w:hAnsi="Courier New" w:eastAsia="Courier New"/>
          <w:sz w:val="17"/>
        </w:rPr>
        <w:t>Retry-After: 21</w:t>
      </w:r>
      <w:r>
        <w:rPr>
          <w:sz w:val="19"/>
        </w:rPr>
        <w:t xml:space="preserve">): honoured and cached. Nager.Date answers HTTP 204 for India: reported as </w:t>
      </w:r>
      <w:r>
        <w:rPr>
          <w:rFonts w:ascii="Courier New" w:hAnsi="Courier New" w:eastAsia="Courier New"/>
          <w:sz w:val="17"/>
        </w:rPr>
        <w:t>no_data</w:t>
      </w:r>
      <w:r>
        <w:rPr>
          <w:sz w:val="19"/>
        </w:rPr>
        <w:t xml:space="preserve">, never as "no holidays". Forecasts stop at 16 days: last year's observations are used, labelled </w:t>
      </w:r>
      <w:r>
        <w:rPr>
          <w:rFonts w:ascii="Courier New" w:hAnsi="Courier New" w:eastAsia="Courier New"/>
          <w:sz w:val="17"/>
        </w:rPr>
        <w:t>historical_proxy</w:t>
      </w:r>
      <w:r>
        <w:rPr>
          <w:sz w:val="19"/>
        </w:rPr>
        <w:t>.</w:t>
      </w:r>
    </w:p>
    <w:p>
      <w:pPr>
        <w:pStyle w:val="Heading2"/>
      </w:pPr>
      <w:r>
        <w:t>4. Next steps (until 30 September)</w:t>
      </w:r>
    </w:p>
    <w:p>
      <w:pPr>
        <w:pStyle w:val="ListBullet"/>
        <w:spacing w:after="30"/>
      </w:pPr>
      <w:r>
        <w:rPr>
          <w:sz w:val="19"/>
        </w:rPr>
        <w:t>Run and analyse the 10 live test scenarios; add grounding checks to the report.</w:t>
      </w:r>
    </w:p>
    <w:p>
      <w:pPr>
        <w:pStyle w:val="ListBullet"/>
        <w:spacing w:after="30"/>
      </w:pPr>
      <w:r>
        <w:rPr>
          <w:sz w:val="19"/>
        </w:rPr>
        <w:t>Finish the architecture and LLM-tool sequence diagrams, README and technical report.</w:t>
      </w:r>
    </w:p>
    <w:p>
      <w:pPr>
        <w:pStyle w:val="ListBullet"/>
        <w:spacing w:after="30"/>
      </w:pPr>
      <w:r>
        <w:rPr>
          <w:sz w:val="19"/>
        </w:rPr>
        <w:t>Record the 5-7 minute demo video; incorporate the Phase 2 feedback.</w:t>
      </w:r>
    </w:p>
    <w:sectPr w:rsidR="00FC693F" w:rsidRPr="0006063C" w:rsidSect="00034616">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TripMate · Phase 2 progress notes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eastAsia="Arial"/>
      <w:b/>
      <w:bCs/>
      <w:color w:val="1F3A68"/>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1F3A68"/>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F3A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TripMate: Phase 2 Progress Notes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