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3864"/>
          <w:sz w:val="36"/>
          <w:szCs w:val="36"/>
        </w:rPr>
        <w:t xml:space="preserve">Seguridad de la aplicación</w:t>
      </w:r>
    </w:p>
    <w:p>
      <w:pPr>
        <w:pBdr>
          <w:bottom w:val="single" w:color="1F3864" w:sz="8" w:space="4"/>
        </w:pBdr>
        <w:spacing w:after="60" w:before="0"/>
      </w:pPr>
      <w:r>
        <w:rPr>
          <w:rFonts w:ascii="Calibri" w:cs="Calibri" w:eastAsia="Calibri" w:hAnsi="Calibri"/>
          <w:i/>
          <w:iCs/>
          <w:color w:val="595959"/>
          <w:sz w:val="20"/>
          <w:szCs w:val="20"/>
        </w:rPr>
        <w:t xml:space="preserve">Resumen de medidas de seguridad implementadas en GestInt</w:t>
      </w:r>
    </w:p>
    <w:p>
      <w:pPr>
        <w:spacing w:after="200" w:before="0"/>
      </w:pPr>
    </w:p>
    <w:p>
      <w:pPr>
        <w:spacing w:after="200" w:before="0" w:line="280"/>
        <w:jc w:val="both"/>
      </w:pPr>
      <w:r>
        <w:rPr>
          <w:rFonts w:ascii="Calibri" w:cs="Calibri" w:eastAsia="Calibri" w:hAnsi="Calibri"/>
          <w:b w:val="false"/>
          <w:bCs w:val="false"/>
          <w:i w:val="false"/>
          <w:iCs w:val="false"/>
          <w:color w:val="222222"/>
          <w:sz w:val="22"/>
          <w:szCs w:val="22"/>
        </w:rPr>
        <w:t xml:space="preserve">GestInt implementa un modelo de seguridad en capas (defensa en profundidad) que cubre cuatro niveles: autenticación y control de acceso, protección contra inyección SQL, configuración segura del servidor Apache y cabeceras de seguridad HTTP. A continuación se detalla cada medida aplicada.</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800"/>
        <w:gridCol w:w="4160"/>
      </w:tblGrid>
      <w:tr>
        <w:trPr>
          <w:tblHeader/>
        </w:trPr>
        <w:tc>
          <w:tcPr>
            <w:tcW w:type="dxa" w:w="3800"/>
            <w:tcBorders>
              <w:top w:val="single" w:color="1F3864" w:sz="4"/>
              <w:left w:val="single" w:color="1F3864" w:sz="4"/>
              <w:bottom w:val="single" w:color="1F3864" w:sz="4"/>
              <w:right w:val="single" w:color="1F3864" w:sz="4"/>
            </w:tcBorders>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Medida de seguridad</w:t>
            </w:r>
          </w:p>
        </w:tc>
        <w:tc>
          <w:tcPr>
            <w:tcW w:type="dxa" w:w="2000"/>
            <w:tcBorders>
              <w:top w:val="single" w:color="1F3864" w:sz="4"/>
              <w:left w:val="single" w:color="1F3864" w:sz="4"/>
              <w:bottom w:val="single" w:color="1F3864" w:sz="4"/>
              <w:right w:val="single" w:color="1F3864" w:sz="4"/>
            </w:tcBorders>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Tipo</w:t>
            </w:r>
          </w:p>
        </w:tc>
        <w:tc>
          <w:tcPr>
            <w:tcW w:type="dxa" w:w="2800"/>
            <w:tcBorders>
              <w:top w:val="single" w:color="1F3864" w:sz="4"/>
              <w:left w:val="single" w:color="1F3864" w:sz="4"/>
              <w:bottom w:val="single" w:color="1F3864" w:sz="4"/>
              <w:right w:val="single" w:color="1F3864" w:sz="4"/>
            </w:tcBorders>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Archivo</w:t>
            </w:r>
          </w:p>
        </w:tc>
        <w:tc>
          <w:tcPr>
            <w:tcW w:type="dxa" w:w="4160"/>
            <w:tcBorders>
              <w:top w:val="single" w:color="1F3864" w:sz="4"/>
              <w:left w:val="single" w:color="1F3864" w:sz="4"/>
              <w:bottom w:val="single" w:color="1F3864" w:sz="4"/>
              <w:right w:val="single" w:color="1F3864" w:sz="4"/>
            </w:tcBorders>
            <w:tcMar>
              <w:top w:type="dxa" w:w="80"/>
              <w:left w:type="dxa" w:w="120"/>
              <w:bottom w:type="dxa" w:w="80"/>
              <w:right w:type="dxa" w:w="120"/>
            </w:tcMar>
            <w:vAlign w:val="center"/>
          </w:tcPr>
          <w:p>
            <w:r>
              <w:rPr>
                <w:rFonts w:ascii="Calibri" w:cs="Calibri" w:eastAsia="Calibri" w:hAnsi="Calibri"/>
                <w:b/>
                <w:bCs/>
                <w:i w:val="false"/>
                <w:iCs w:val="false"/>
                <w:color w:val="FFFFFF"/>
                <w:sz w:val="18"/>
                <w:szCs w:val="18"/>
              </w:rPr>
              <w:t xml:space="preserve">Descripción</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Prepared statements</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Inyección SQL</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login.php, *.php</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Los parámetros viajan separados de la query — el input nunca se interpreta como SQL</w:t>
            </w:r>
          </w:p>
        </w:tc>
      </w:tr>
      <w:tr>
        <w:tc>
          <w:tcPr>
            <w:tcW w:type="dxa" w:w="3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Contraseñas con bcrypt</w:t>
            </w:r>
          </w:p>
        </w:tc>
        <w:tc>
          <w:tcPr>
            <w:tcW w:type="dxa" w:w="20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Autenticación</w:t>
            </w:r>
          </w:p>
        </w:tc>
        <w:tc>
          <w:tcPr>
            <w:tcW w:type="dxa" w:w="2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login.php, usuarios.php</w:t>
            </w:r>
          </w:p>
        </w:tc>
        <w:tc>
          <w:tcPr>
            <w:tcW w:type="dxa" w:w="416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password_hash() + password_verify(). Imposible revertir el hash aunque se filtre la BD</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Validación de rol en POST</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Escalada privil.</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usuarios.php</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El rol recibido del formulario se valida en servidor contra la lista permitida para el usuario actual</w:t>
            </w:r>
          </w:p>
        </w:tc>
      </w:tr>
      <w:tr>
        <w:tc>
          <w:tcPr>
            <w:tcW w:type="dxa" w:w="3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Login solo por POST</w:t>
            </w:r>
          </w:p>
        </w:tc>
        <w:tc>
          <w:tcPr>
            <w:tcW w:type="dxa" w:w="20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Autenticación</w:t>
            </w:r>
          </w:p>
        </w:tc>
        <w:tc>
          <w:tcPr>
            <w:tcW w:type="dxa" w:w="2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login.php</w:t>
            </w:r>
          </w:p>
        </w:tc>
        <w:tc>
          <w:tcPr>
            <w:tcW w:type="dxa" w:w="416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El formulario no acepta GET — no hay vector de inyección por URL en la autenticación</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Control de sesión (auth.php)</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Control acceso</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includes/auth.php</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Cada página verifica $_SESSION['usuario_id'] — acceso directo por URL redirige al login</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Funciones de rol</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Control acceso</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includes/auth.php</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esAdmin(), esRRHH(), esAlmacen()... controlan el acceso a cada sección por rol</w:t>
            </w:r>
          </w:p>
        </w:tc>
      </w:tr>
      <w:tr>
        <w:tc>
          <w:tcPr>
            <w:tcW w:type="dxa" w:w="3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Usuarios MySQL por rol</w:t>
            </w:r>
          </w:p>
        </w:tc>
        <w:tc>
          <w:tcPr>
            <w:tcW w:type="dxa" w:w="20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Defensa en profund.</w:t>
            </w:r>
          </w:p>
        </w:tc>
        <w:tc>
          <w:tcPr>
            <w:tcW w:type="dxa" w:w="2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includes/db.php</w:t>
            </w:r>
          </w:p>
        </w:tc>
        <w:tc>
          <w:tcPr>
            <w:tcW w:type="dxa" w:w="416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Cada rol usa un usuario MySQL distinto con permisos mínimos sobre la BD</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session_start() en db.php</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Gestión sesión</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includes/db.php</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Se garantiza que la sesión esté iniciada antes de leer $_SESSION['rol']</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Options -Indexes</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Apache / servidor</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.htaccess</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Impide que Apache liste el contenido de directorios (evita 'Index Of...')</w:t>
            </w:r>
          </w:p>
        </w:tc>
      </w:tr>
      <w:tr>
        <w:tc>
          <w:tcPr>
            <w:tcW w:type="dxa" w:w="3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Bloqueo de includes/</w:t>
            </w:r>
          </w:p>
        </w:tc>
        <w:tc>
          <w:tcPr>
            <w:tcW w:type="dxa" w:w="20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Apache / servidor</w:t>
            </w:r>
          </w:p>
        </w:tc>
        <w:tc>
          <w:tcPr>
            <w:tcW w:type="dxa" w:w="2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includes/.htaccess</w:t>
            </w:r>
          </w:p>
        </w:tc>
        <w:tc>
          <w:tcPr>
            <w:tcW w:type="dxa" w:w="416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Require all denied — los archivos internos no son accesibles desde el navegador</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Bloqueo de .php en uploads/</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Apache / servidor</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uploads/.htaccess</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Impide ejecutar archivos PHP subidos como justificantes (evita webshells)</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Bloqueo extensiones críticas</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Apache / servidor</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.htaccess</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Deniega acceso a .sql, .log, .env, .bak y similares por FilesMatch</w:t>
            </w:r>
          </w:p>
        </w:tc>
      </w:tr>
      <w:tr>
        <w:tc>
          <w:tcPr>
            <w:tcW w:type="dxa" w:w="3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Cabecera X-Content-Type-Options</w:t>
            </w:r>
          </w:p>
        </w:tc>
        <w:tc>
          <w:tcPr>
            <w:tcW w:type="dxa" w:w="20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Cabeceras HTTP</w:t>
            </w:r>
          </w:p>
        </w:tc>
        <w:tc>
          <w:tcPr>
            <w:tcW w:type="dxa" w:w="2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.htaccess</w:t>
            </w:r>
          </w:p>
        </w:tc>
        <w:tc>
          <w:tcPr>
            <w:tcW w:type="dxa" w:w="416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nosniff — el navegador no hace MIME sniffing del contenido de respuesta</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Cabecera X-Frame-Options</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Cabeceras HTTP</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.htaccess</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SAMEORIGIN — previene ataques de clickjacking embebiendo la app en un iframe</w:t>
            </w:r>
          </w:p>
        </w:tc>
      </w:tr>
      <w:tr>
        <w:tc>
          <w:tcPr>
            <w:tcW w:type="dxa" w:w="3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Cabecera X-XSS-Protection</w:t>
            </w:r>
          </w:p>
        </w:tc>
        <w:tc>
          <w:tcPr>
            <w:tcW w:type="dxa" w:w="20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Cabeceras HTTP</w:t>
            </w:r>
          </w:p>
        </w:tc>
        <w:tc>
          <w:tcPr>
            <w:tcW w:type="dxa" w:w="280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.htaccess</w:t>
            </w:r>
          </w:p>
        </w:tc>
        <w:tc>
          <w:tcPr>
            <w:tcW w:type="dxa" w:w="4160"/>
            <w:tcBorders>
              <w:top w:val="single" w:color="B4C7D9" w:sz="4"/>
              <w:left w:val="single" w:color="B4C7D9" w:sz="4"/>
              <w:bottom w:val="single" w:color="B4C7D9" w:sz="4"/>
              <w:right w:val="single" w:color="B4C7D9" w:sz="4"/>
            </w:tcBorders>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1; mode=block — activa el filtro XSS del navegador</w:t>
            </w:r>
          </w:p>
        </w:tc>
      </w:tr>
      <w:tr>
        <w:tc>
          <w:tcPr>
            <w:tcW w:type="dxa" w:w="3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bCs/>
                <w:i w:val="false"/>
                <w:iCs w:val="false"/>
                <w:color w:val="222222"/>
                <w:sz w:val="18"/>
                <w:szCs w:val="18"/>
              </w:rPr>
              <w:t xml:space="preserve">Cabecera Referrer-Policy</w:t>
            </w:r>
          </w:p>
        </w:tc>
        <w:tc>
          <w:tcPr>
            <w:tcW w:type="dxa" w:w="20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Cabeceras HTTP</w:t>
            </w:r>
          </w:p>
        </w:tc>
        <w:tc>
          <w:tcPr>
            <w:tcW w:type="dxa" w:w="280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.htaccess</w:t>
            </w:r>
          </w:p>
        </w:tc>
        <w:tc>
          <w:tcPr>
            <w:tcW w:type="dxa" w:w="4160"/>
            <w:tcBorders>
              <w:top w:val="single" w:color="B4C7D9" w:sz="4"/>
              <w:left w:val="single" w:color="B4C7D9" w:sz="4"/>
              <w:bottom w:val="single" w:color="B4C7D9" w:sz="4"/>
              <w:right w:val="single" w:color="B4C7D9" w:sz="4"/>
            </w:tcBorders>
            <w:shd w:fill="EAF3F8" w:val="clear"/>
            <w:tcMar>
              <w:top w:type="dxa" w:w="80"/>
              <w:left w:type="dxa" w:w="120"/>
              <w:bottom w:type="dxa" w:w="80"/>
              <w:right w:type="dxa" w:w="120"/>
            </w:tcMar>
            <w:vAlign w:val="center"/>
          </w:tcPr>
          <w:p>
            <w:r>
              <w:rPr>
                <w:rFonts w:ascii="Calibri" w:cs="Calibri" w:eastAsia="Calibri" w:hAnsi="Calibri"/>
                <w:b w:val="false"/>
                <w:bCs w:val="false"/>
                <w:i w:val="false"/>
                <w:iCs w:val="false"/>
                <w:color w:val="222222"/>
                <w:sz w:val="18"/>
                <w:szCs w:val="18"/>
              </w:rPr>
              <w:t xml:space="preserve">strict-origin-when-cross-origin — limita la URL enviada como Referer a externos</w:t>
            </w:r>
          </w:p>
        </w:tc>
      </w:tr>
    </w:tbl>
    <w:p>
      <w:pPr>
        <w:pBdr>
          <w:bottom w:val="single" w:color="1F3864" w:sz="12" w:space="4"/>
        </w:pBdr>
        <w:spacing w:after="200" w:before="360" w:line="300"/>
      </w:pPr>
      <w:r>
        <w:rPr>
          <w:rFonts w:ascii="Calibri" w:cs="Calibri" w:eastAsia="Calibri" w:hAnsi="Calibri"/>
          <w:b/>
          <w:bCs/>
          <w:color w:val="1F3864"/>
          <w:sz w:val="36"/>
          <w:szCs w:val="36"/>
        </w:rPr>
        <w:t xml:space="preserve">Detalle por capa de seguridad</w:t>
      </w:r>
    </w:p>
    <w:p>
      <w:pPr>
        <w:spacing w:after="140" w:before="280" w:line="300"/>
      </w:pPr>
      <w:r>
        <w:rPr>
          <w:rFonts w:ascii="Calibri" w:cs="Calibri" w:eastAsia="Calibri" w:hAnsi="Calibri"/>
          <w:b/>
          <w:bCs/>
          <w:color w:val="2E74B5"/>
          <w:sz w:val="28"/>
          <w:szCs w:val="28"/>
        </w:rPr>
        <w:t xml:space="preserve">1. Protección contra inyección SQL</w:t>
      </w:r>
    </w:p>
    <w:p>
      <w:pPr>
        <w:spacing w:after="120" w:before="0" w:line="280"/>
        <w:jc w:val="both"/>
      </w:pPr>
      <w:r>
        <w:rPr>
          <w:rFonts w:ascii="Calibri" w:cs="Calibri" w:eastAsia="Calibri" w:hAnsi="Calibri"/>
          <w:b w:val="false"/>
          <w:bCs w:val="false"/>
          <w:i w:val="false"/>
          <w:iCs w:val="false"/>
          <w:color w:val="222222"/>
          <w:sz w:val="22"/>
          <w:szCs w:val="22"/>
        </w:rPr>
        <w:t xml:space="preserve">Todas las consultas a la base de datos utilizan prepared statements con bind_param(). Los parámetros del usuario llegan al motor MySQL como valores tipados, separados de la estructura de la query. Esto hace imposible que un input malicioso como ' OR '1'='1'-- sea interpretado como SQL. Se ha verificado específicamente el formulario de login, los filtros de búsqueda (empleados, justificantes, usuarios) y todos los parámetros de URL (?id=, ?buscar=, ?recibir=).</w:t>
      </w:r>
    </w:p>
    <w:p>
      <w:pPr>
        <w:spacing w:after="140" w:before="280" w:line="300"/>
      </w:pPr>
      <w:r>
        <w:rPr>
          <w:rFonts w:ascii="Calibri" w:cs="Calibri" w:eastAsia="Calibri" w:hAnsi="Calibri"/>
          <w:b/>
          <w:bCs/>
          <w:color w:val="2E74B5"/>
          <w:sz w:val="28"/>
          <w:szCs w:val="28"/>
        </w:rPr>
        <w:t xml:space="preserve">2. Autenticación y control de sesión</w:t>
      </w:r>
    </w:p>
    <w:p>
      <w:pPr>
        <w:spacing w:after="120" w:before="0" w:line="280"/>
        <w:jc w:val="both"/>
      </w:pPr>
      <w:r>
        <w:rPr>
          <w:rFonts w:ascii="Calibri" w:cs="Calibri" w:eastAsia="Calibri" w:hAnsi="Calibri"/>
          <w:b w:val="false"/>
          <w:bCs w:val="false"/>
          <w:i w:val="false"/>
          <w:iCs w:val="false"/>
          <w:color w:val="222222"/>
          <w:sz w:val="22"/>
          <w:szCs w:val="22"/>
        </w:rPr>
        <w:t xml:space="preserve">Las contraseñas se almacenan con password_hash() (bcrypt, coste por defecto) y se verifican con password_verify(). Aunque la base de datos se viera comprometida, los hashes no son reversibles en tiempo razonable. El formulario de login solo procesa peticiones POST, eliminando el vector de inyección por URL. Cada página protegida verifica la sesión activa mediante auth.php antes de renderizar cualquier contenido.</w:t>
      </w:r>
    </w:p>
    <w:p>
      <w:pPr>
        <w:spacing w:after="140" w:before="280" w:line="300"/>
      </w:pPr>
      <w:r>
        <w:rPr>
          <w:rFonts w:ascii="Calibri" w:cs="Calibri" w:eastAsia="Calibri" w:hAnsi="Calibri"/>
          <w:b/>
          <w:bCs/>
          <w:color w:val="2E74B5"/>
          <w:sz w:val="28"/>
          <w:szCs w:val="28"/>
        </w:rPr>
        <w:t xml:space="preserve">3. Control de acceso por rol</w:t>
      </w:r>
    </w:p>
    <w:p>
      <w:pPr>
        <w:spacing w:after="120" w:before="0" w:line="280"/>
        <w:jc w:val="both"/>
      </w:pPr>
      <w:r>
        <w:rPr>
          <w:rFonts w:ascii="Calibri" w:cs="Calibri" w:eastAsia="Calibri" w:hAnsi="Calibri"/>
          <w:b w:val="false"/>
          <w:bCs w:val="false"/>
          <w:i w:val="false"/>
          <w:iCs w:val="false"/>
          <w:color w:val="222222"/>
          <w:sz w:val="22"/>
          <w:szCs w:val="22"/>
        </w:rPr>
        <w:t xml:space="preserve">auth.php define funciones de comprobación de rol (esAdmin(), esRRHH(), esAlmacen(), esSoporte(), esVentas()) que se evalúan al inicio de cada página. Un empleado de ventas que intente acceder directamente a usuarios.php o logs.php es redirigido al dashboard. Además, el rol recibido por formulario POST se valida en el servidor contra la lista de roles permitidos para el usuario actual, evitando escaladas de privilegio por manipulación del HTML.</w:t>
      </w:r>
    </w:p>
    <w:p>
      <w:pPr>
        <w:spacing w:after="140" w:before="280" w:line="300"/>
      </w:pPr>
      <w:r>
        <w:rPr>
          <w:rFonts w:ascii="Calibri" w:cs="Calibri" w:eastAsia="Calibri" w:hAnsi="Calibri"/>
          <w:b/>
          <w:bCs/>
          <w:color w:val="2E74B5"/>
          <w:sz w:val="28"/>
          <w:szCs w:val="28"/>
        </w:rPr>
        <w:t xml:space="preserve">4. Usuarios MySQL por rol</w:t>
      </w:r>
    </w:p>
    <w:p>
      <w:pPr>
        <w:spacing w:after="120" w:before="0" w:line="280"/>
        <w:jc w:val="both"/>
      </w:pPr>
      <w:r>
        <w:rPr>
          <w:rFonts w:ascii="Calibri" w:cs="Calibri" w:eastAsia="Calibri" w:hAnsi="Calibri"/>
          <w:b w:val="false"/>
          <w:bCs w:val="false"/>
          <w:i w:val="false"/>
          <w:iCs w:val="false"/>
          <w:color w:val="222222"/>
          <w:sz w:val="22"/>
          <w:szCs w:val="22"/>
        </w:rPr>
        <w:t xml:space="preserve">Cada rol del sistema (admin, rrhh, almacen, empleado, soporte, login) conecta a MySQL con un usuario distinto que tiene únicamente los permisos necesarios para sus operaciones. Esto limita el impacto en caso de que alguna consulta sea comprometida a nivel de base de datos.</w:t>
      </w:r>
    </w:p>
    <w:p>
      <w:pPr>
        <w:spacing w:after="140" w:before="280" w:line="300"/>
      </w:pPr>
      <w:r>
        <w:rPr>
          <w:rFonts w:ascii="Calibri" w:cs="Calibri" w:eastAsia="Calibri" w:hAnsi="Calibri"/>
          <w:b/>
          <w:bCs/>
          <w:color w:val="2E74B5"/>
          <w:sz w:val="28"/>
          <w:szCs w:val="28"/>
        </w:rPr>
        <w:t xml:space="preserve">5. Configuración Apache (.htaccess)</w:t>
      </w:r>
    </w:p>
    <w:p>
      <w:pPr>
        <w:spacing w:after="120" w:before="0" w:line="280"/>
        <w:jc w:val="both"/>
      </w:pPr>
      <w:r>
        <w:rPr>
          <w:rFonts w:ascii="Calibri" w:cs="Calibri" w:eastAsia="Calibri" w:hAnsi="Calibri"/>
          <w:b w:val="false"/>
          <w:bCs w:val="false"/>
          <w:i w:val="false"/>
          <w:iCs w:val="false"/>
          <w:color w:val="222222"/>
          <w:sz w:val="22"/>
          <w:szCs w:val="22"/>
        </w:rPr>
        <w:t xml:space="preserve">Se han creado tres archivos .htaccess: uno en la raíz (Options -Indexes, bloqueo de extensiones sensibles, cabeceras HTTP), uno en includes/ (Require all denied, acceso web bloqueado completamente) y uno en uploads/ (bloqueo de ejecución PHP, prevención de webshells). Las cabeceras X-Content-Type-Options, X-Frame-Options, X-XSS-Protection y Referrer-Policy se sirven en todas las respuestas.</w:t>
      </w:r>
    </w:p>
    <w:p>
      <w:pPr>
        <w:spacing w:after="0" w:before="200"/>
      </w:pPr>
    </w:p>
    <w:p>
      <w:pPr>
        <w:spacing w:after="120" w:before="0" w:line="280"/>
        <w:jc w:val="both"/>
      </w:pPr>
      <w:r>
        <w:rPr>
          <w:rFonts w:ascii="Calibri" w:cs="Calibri" w:eastAsia="Calibri" w:hAnsi="Calibri"/>
          <w:b w:val="false"/>
          <w:bCs w:val="false"/>
          <w:i/>
          <w:iCs/>
          <w:color w:val="595959"/>
          <w:sz w:val="18"/>
          <w:szCs w:val="18"/>
        </w:rPr>
        <w:t xml:space="preserve">Total de medidas implementadas: 16  ·  Capas: Aplicación PHP · Base de datos MySQL · Servidor Apache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  Ana Orozco Asensio · 2º CFGS ASIR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Calibri" w:cs="Calibri" w:eastAsia="Calibri" w:hAnsi="Calibri"/>
        <w:color w:val="595959"/>
        <w:sz w:val="16"/>
        <w:szCs w:val="16"/>
      </w:rPr>
      <w:t xml:space="preserve">GestInt — Seguridad de la aplicación — Dunder Mifflin Scranton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2026-06-08T18:13:11.297Z</dcterms:created>
  <dcterms:modified xsi:type="dcterms:W3CDTF">2026-06-08T18:13:11.299Z</dcterms:modified>
</cp:coreProperties>
</file>

<file path=docProps/custom.xml><?xml version="1.0" encoding="utf-8"?>
<Properties xmlns="http://schemas.openxmlformats.org/officeDocument/2006/custom-properties" xmlns:vt="http://schemas.openxmlformats.org/officeDocument/2006/docPropsVTypes"/>
</file>