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Topología de red</w:t>
      </w:r>
    </w:p>
    <w:p>
      <w:pPr>
        <w:pBdr>
          <w:bottom w:val="single" w:color="1F3864" w:sz="8" w:space="4"/>
        </w:pBdr>
        <w:spacing w:after="60" w:before="0"/>
        <w:jc w:val="lef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Inventario de dispositivos y asignación de IPs fijas — Red 192.168.1.0/24</w:t>
      </w:r>
    </w:p>
    <w:p>
      <w:pPr>
        <w:spacing w:after="200" w:before="0"/>
      </w:pP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300"/>
        <w:gridCol w:w="1750"/>
        <w:gridCol w:w="1900"/>
        <w:gridCol w:w="3008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 / Descripción</w:t>
            </w:r>
          </w:p>
        </w:tc>
        <w:tc>
          <w:tcPr>
            <w:tcW w:type="dxa" w:w="2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75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Dirección IP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Máscara</w:t>
            </w:r>
          </w:p>
        </w:tc>
        <w:tc>
          <w:tcPr>
            <w:tcW w:type="dxa" w:w="300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Infraestructura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Router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Puerta de enlace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Red general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Gateway / acceso a internet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Servidor GestInt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Apache 2.4 · MySQL 8 · PHP 8.2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Red general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192.168.1.2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Servidor web + base de datos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IT / Soporte — rango .10–.19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PC-IT-01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Ana Orozco Asensio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IT / Soporte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192.168.1.10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PC-IT-02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Alberto Sánchez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IT / Soporte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192.168.1.11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IMP-IT-01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IT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IT / Soporte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192.168.1.14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IMP-IT-02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IT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IT / Soporte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192.168.1.15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Dirección — rango .20–.29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PC-DIR-01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Michael Scott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192.168.1.20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IMP-DIR-01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dirección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192.168.1.24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IMP-DIR-02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dirección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192.168.1.25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RRHH / Recepción — rango .30–.39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PC-RRHH-01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Pam Beesly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RRHH / Recepción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192.168.1.30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PC-RRHH-02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Toby Flenderson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RRHH / Recepción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192.168.1.31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IMP-RRHH-01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RRHH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RRHH / Recepción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192.168.1.34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IMP-RRHH-02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RRHH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RRHH / Recepción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192.168.1.35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Contabilidad — rango .40–.49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PC-CONT-01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Angela Martin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192.168.1.40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PC-CONT-02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Oscar Martínez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192.168.1.41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PC-CONT-03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Kevin Malone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192.168.1.42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IMP-CONT-01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contabilidad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192.168.1.44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IMP-CONT-02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contabilidad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192.168.1.45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Ventas — rango .50–.59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Dwight Schrute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Jim Halpert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PC-VEN-03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Stanley Hudson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192.168.1.52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PC-VEN-04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Phyllis Vance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192.168.1.53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PC-VEN-05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Andy Bernard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PC-VEN-06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Ryan Howard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IMP-VEN-01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ventas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192.168.1.56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IMP-VEN-02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ventas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Ventas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192.168.1.57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3958"/>
            <w:gridSpan w:val="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1F3864"/>
                <w:sz w:val="17"/>
                <w:szCs w:val="17"/>
              </w:rPr>
              <w:t xml:space="preserve">Almacén — rango .60–.69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PC-ALM-01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Darryl Philbin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Almacén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192.168.1.60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PC-ALM-02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Roy Anderson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Almacén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192.168.1.61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Puesto de trabajo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IMP-ALM-01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almacén 1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Almacén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192.168.1.64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  <w:tr>
        <w:tc>
          <w:tcPr>
            <w:tcW w:type="dxa" w:w="18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IMP-ALM-02</w:t>
            </w:r>
          </w:p>
        </w:tc>
        <w:tc>
          <w:tcPr>
            <w:tcW w:type="dxa" w:w="32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almacén 2</w:t>
            </w:r>
          </w:p>
        </w:tc>
        <w:tc>
          <w:tcPr>
            <w:tcW w:type="dxa" w:w="23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Almacén</w:t>
            </w:r>
          </w:p>
        </w:tc>
        <w:tc>
          <w:tcPr>
            <w:tcW w:type="dxa" w:w="175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192.168.1.65</w:t>
            </w:r>
          </w:p>
        </w:tc>
        <w:tc>
          <w:tcPr>
            <w:tcW w:type="dxa" w:w="1900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3460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3008"/>
            <w:tcBorders>
              <w:top w:val="single" w:color="B4C7D9" w:sz="4"/>
              <w:left w:val="single" w:color="B4C7D9" w:sz="4"/>
              <w:bottom w:val="single" w:color="B4C7D9" w:sz="4"/>
              <w:right w:val="single" w:color="B4C7D9" w:sz="4"/>
            </w:tcBorders>
            <w:shd w:fill="EA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Impresora de red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Red plana sin subredes (192.168.1.0 / 255.255.255.0) · Gateway: 192.168.1.1 · Servidor GestInt: 192.168.1.2 · Total dispositivos: 30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 ·  Ana Orozco Asensio · 2º CFGS ASIR ·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GestInt — Topología de red — Dunder Mifflin Scranton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2026-06-08T17:09:18.493Z</dcterms:created>
  <dcterms:modified xsi:type="dcterms:W3CDTF">2026-06-08T17:09:18.493Z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