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2BAC2" w14:textId="0D1CD351" w:rsidR="00CE5F05" w:rsidRPr="00C81031" w:rsidRDefault="007C5D29" w:rsidP="00CE5F05">
      <w:pPr>
        <w:spacing w:after="240" w:line="360" w:lineRule="auto"/>
        <w:jc w:val="center"/>
        <w:rPr>
          <w:lang w:val="en-GB"/>
        </w:rPr>
      </w:pPr>
      <w:r w:rsidRPr="00C81031">
        <w:rPr>
          <w:lang w:val="en-GB"/>
        </w:rPr>
        <w:t>Concessive conditionals</w:t>
      </w:r>
      <w:r w:rsidR="0023591F">
        <w:rPr>
          <w:lang w:val="en-GB"/>
        </w:rPr>
        <w:t>, indefinite pronouns,</w:t>
      </w:r>
      <w:r w:rsidRPr="00C81031">
        <w:rPr>
          <w:lang w:val="en-GB"/>
        </w:rPr>
        <w:t xml:space="preserve"> and the semantic map of additivity</w:t>
      </w:r>
      <w:r w:rsidR="006739FD">
        <w:rPr>
          <w:lang w:val="en-GB"/>
        </w:rPr>
        <w:br/>
        <w:t>Tom Bossuyt</w:t>
      </w:r>
      <w:r w:rsidR="00CE5F05">
        <w:rPr>
          <w:lang w:val="en-GB"/>
        </w:rPr>
        <w:t xml:space="preserve"> (Ghent University)</w:t>
      </w:r>
    </w:p>
    <w:p w14:paraId="3FCC434B" w14:textId="6731CF48" w:rsidR="00B41362" w:rsidRDefault="007C5D29" w:rsidP="006523A6">
      <w:pPr>
        <w:spacing w:after="0" w:line="360" w:lineRule="auto"/>
        <w:jc w:val="both"/>
        <w:rPr>
          <w:lang w:val="en-GB"/>
        </w:rPr>
      </w:pPr>
      <w:r w:rsidRPr="00C81031">
        <w:rPr>
          <w:lang w:val="en-GB"/>
        </w:rPr>
        <w:t>In this paper, I propose a</w:t>
      </w:r>
      <w:r w:rsidR="004B65C4">
        <w:rPr>
          <w:lang w:val="en-GB"/>
        </w:rPr>
        <w:t xml:space="preserve">n improvement </w:t>
      </w:r>
      <w:r w:rsidRPr="00C81031">
        <w:rPr>
          <w:lang w:val="en-GB"/>
        </w:rPr>
        <w:t>to Forker’s (2016) semantic map of additivity</w:t>
      </w:r>
      <w:r w:rsidR="00680180">
        <w:rPr>
          <w:lang w:val="en-GB"/>
        </w:rPr>
        <w:t>, shown in Figure 1</w:t>
      </w:r>
      <w:r w:rsidR="00F35981">
        <w:rPr>
          <w:lang w:val="en-GB"/>
        </w:rPr>
        <w:t xml:space="preserve"> below</w:t>
      </w:r>
      <w:r w:rsidR="00680180">
        <w:rPr>
          <w:lang w:val="en-GB"/>
        </w:rPr>
        <w:t>.</w:t>
      </w:r>
      <w:r w:rsidR="00AD4DEF">
        <w:rPr>
          <w:lang w:val="en-GB"/>
        </w:rPr>
        <w:t xml:space="preserve"> </w:t>
      </w:r>
      <w:r w:rsidRPr="00C81031">
        <w:rPr>
          <w:lang w:val="en-GB"/>
        </w:rPr>
        <w:t>Additive markers</w:t>
      </w:r>
      <w:r w:rsidR="005715E1" w:rsidRPr="00C81031">
        <w:rPr>
          <w:lang w:val="en-GB"/>
        </w:rPr>
        <w:t xml:space="preserve"> (</w:t>
      </w:r>
      <w:r w:rsidR="005715E1" w:rsidRPr="00C81031">
        <w:rPr>
          <w:smallCaps/>
          <w:lang w:val="en-GB"/>
        </w:rPr>
        <w:t>add</w:t>
      </w:r>
      <w:r w:rsidR="005715E1" w:rsidRPr="00C81031">
        <w:rPr>
          <w:lang w:val="en-GB"/>
        </w:rPr>
        <w:t>)</w:t>
      </w:r>
      <w:r w:rsidR="0003588C" w:rsidRPr="00C81031">
        <w:rPr>
          <w:lang w:val="en-GB"/>
        </w:rPr>
        <w:t>,</w:t>
      </w:r>
      <w:r w:rsidR="007A6EB2" w:rsidRPr="00C81031">
        <w:rPr>
          <w:lang w:val="en-GB"/>
        </w:rPr>
        <w:t xml:space="preserve"> e.g. </w:t>
      </w:r>
      <w:r w:rsidR="00A57833" w:rsidRPr="00C81031">
        <w:rPr>
          <w:lang w:val="en-GB"/>
        </w:rPr>
        <w:t>Wolaytta (Omotic, Ethiopia)</w:t>
      </w:r>
      <w:r w:rsidR="007A6EB2" w:rsidRPr="00C81031">
        <w:rPr>
          <w:lang w:val="en-GB"/>
        </w:rPr>
        <w:t xml:space="preserve"> </w:t>
      </w:r>
      <w:r w:rsidR="00A57833" w:rsidRPr="00C81031">
        <w:rPr>
          <w:i/>
          <w:lang w:val="en-GB"/>
        </w:rPr>
        <w:t>-kka</w:t>
      </w:r>
      <w:r w:rsidR="007A6EB2" w:rsidRPr="00C81031">
        <w:rPr>
          <w:lang w:val="en-GB"/>
        </w:rPr>
        <w:t xml:space="preserve"> ‘also’ in (1), </w:t>
      </w:r>
      <w:r w:rsidR="007249C2" w:rsidRPr="00C81031">
        <w:rPr>
          <w:lang w:val="en-GB"/>
        </w:rPr>
        <w:t xml:space="preserve">express that there is at least one alternative </w:t>
      </w:r>
      <w:r w:rsidR="00DC6701" w:rsidRPr="00C81031">
        <w:rPr>
          <w:lang w:val="en-GB"/>
        </w:rPr>
        <w:t>value</w:t>
      </w:r>
      <w:r w:rsidR="007249C2" w:rsidRPr="00C81031">
        <w:rPr>
          <w:lang w:val="en-GB"/>
        </w:rPr>
        <w:t xml:space="preserve"> for </w:t>
      </w:r>
      <w:r w:rsidR="00013D91" w:rsidRPr="00C81031">
        <w:rPr>
          <w:lang w:val="en-GB"/>
        </w:rPr>
        <w:t>the</w:t>
      </w:r>
      <w:r w:rsidR="00DC6701" w:rsidRPr="00C81031">
        <w:rPr>
          <w:lang w:val="en-GB"/>
        </w:rPr>
        <w:t>ir associate, i.e. the</w:t>
      </w:r>
      <w:r w:rsidR="00013D91" w:rsidRPr="00C81031">
        <w:rPr>
          <w:lang w:val="en-GB"/>
        </w:rPr>
        <w:t xml:space="preserve"> linguistic element</w:t>
      </w:r>
      <w:r w:rsidR="007249C2" w:rsidRPr="00C81031">
        <w:rPr>
          <w:lang w:val="en-GB"/>
        </w:rPr>
        <w:t xml:space="preserve"> in their scope</w:t>
      </w:r>
      <w:r w:rsidR="00495F3B">
        <w:rPr>
          <w:lang w:val="en-GB"/>
        </w:rPr>
        <w:t xml:space="preserve"> (Forker 2016</w:t>
      </w:r>
      <w:r w:rsidR="00D45F43">
        <w:rPr>
          <w:lang w:val="en-GB"/>
        </w:rPr>
        <w:t>: 71)</w:t>
      </w:r>
      <w:r w:rsidR="007249C2" w:rsidRPr="00C81031">
        <w:rPr>
          <w:lang w:val="en-GB"/>
        </w:rPr>
        <w:t>.</w:t>
      </w:r>
      <w:r w:rsidR="004A4C21">
        <w:rPr>
          <w:lang w:val="en-GB"/>
        </w:rPr>
        <w:t xml:space="preserve"> </w:t>
      </w:r>
      <w:r w:rsidR="007249C2" w:rsidRPr="00C81031">
        <w:rPr>
          <w:lang w:val="en-GB"/>
        </w:rPr>
        <w:t xml:space="preserve">In many languages, additive markers are </w:t>
      </w:r>
      <w:r w:rsidR="0023591F">
        <w:rPr>
          <w:lang w:val="en-GB"/>
        </w:rPr>
        <w:t xml:space="preserve">highly </w:t>
      </w:r>
      <w:r w:rsidR="007249C2" w:rsidRPr="00C81031">
        <w:rPr>
          <w:lang w:val="en-GB"/>
        </w:rPr>
        <w:t>polyfunctional</w:t>
      </w:r>
      <w:r w:rsidR="00AD4DEF">
        <w:rPr>
          <w:lang w:val="en-GB"/>
        </w:rPr>
        <w:t xml:space="preserve">, </w:t>
      </w:r>
      <w:r w:rsidR="00AD4DEF" w:rsidRPr="00C81031">
        <w:rPr>
          <w:lang w:val="en-GB"/>
        </w:rPr>
        <w:t xml:space="preserve">Wolaytta </w:t>
      </w:r>
      <w:r w:rsidR="00AD4DEF">
        <w:rPr>
          <w:i/>
          <w:lang w:val="en-GB"/>
        </w:rPr>
        <w:t xml:space="preserve">-kka </w:t>
      </w:r>
      <w:r w:rsidR="00AD4DEF" w:rsidRPr="00C81031">
        <w:rPr>
          <w:lang w:val="en-GB"/>
        </w:rPr>
        <w:t>being a case in point</w:t>
      </w:r>
      <w:r w:rsidR="00D90C54" w:rsidRPr="00C81031">
        <w:rPr>
          <w:lang w:val="en-GB"/>
        </w:rPr>
        <w:t xml:space="preserve">. </w:t>
      </w:r>
      <w:r w:rsidR="006A017A">
        <w:rPr>
          <w:lang w:val="en-GB"/>
        </w:rPr>
        <w:t xml:space="preserve">Forker’s </w:t>
      </w:r>
      <w:r w:rsidR="001C1F5B">
        <w:rPr>
          <w:lang w:val="en-GB"/>
        </w:rPr>
        <w:t xml:space="preserve">semantic </w:t>
      </w:r>
      <w:r w:rsidR="006A017A">
        <w:rPr>
          <w:lang w:val="en-GB"/>
        </w:rPr>
        <w:t xml:space="preserve">map shows </w:t>
      </w:r>
      <w:r w:rsidR="001C1F5B">
        <w:rPr>
          <w:lang w:val="en-GB"/>
        </w:rPr>
        <w:t xml:space="preserve">the </w:t>
      </w:r>
      <w:r w:rsidR="001C1F5B" w:rsidRPr="00C81031">
        <w:rPr>
          <w:lang w:val="en-GB"/>
        </w:rPr>
        <w:t>functions most commonly expressed by additives in the languages of the world</w:t>
      </w:r>
      <w:r w:rsidR="000936EE">
        <w:rPr>
          <w:lang w:val="en-GB"/>
        </w:rPr>
        <w:t>.</w:t>
      </w:r>
    </w:p>
    <w:p w14:paraId="57D40254" w14:textId="6179D614" w:rsidR="00B41362" w:rsidRDefault="00AC75FF" w:rsidP="003E5A15">
      <w:pPr>
        <w:spacing w:after="0" w:line="360" w:lineRule="auto"/>
        <w:ind w:firstLine="284"/>
        <w:jc w:val="both"/>
        <w:rPr>
          <w:lang w:val="en-GB"/>
        </w:rPr>
      </w:pPr>
      <w:r>
        <w:rPr>
          <w:lang w:val="en-GB"/>
        </w:rPr>
        <w:t xml:space="preserve">The improvement I propose is concerned with the dotted line </w:t>
      </w:r>
      <w:r w:rsidRPr="00C81031">
        <w:rPr>
          <w:lang w:val="en-GB"/>
        </w:rPr>
        <w:t xml:space="preserve">between the </w:t>
      </w:r>
      <w:r>
        <w:rPr>
          <w:lang w:val="en-GB"/>
        </w:rPr>
        <w:t>‘</w:t>
      </w:r>
      <w:r w:rsidRPr="00C81031">
        <w:rPr>
          <w:lang w:val="en-GB"/>
        </w:rPr>
        <w:t>scalar additive</w:t>
      </w:r>
      <w:r>
        <w:rPr>
          <w:lang w:val="en-GB"/>
        </w:rPr>
        <w:t>’</w:t>
      </w:r>
      <w:r w:rsidRPr="00C81031">
        <w:rPr>
          <w:lang w:val="en-GB"/>
        </w:rPr>
        <w:t xml:space="preserve"> and </w:t>
      </w:r>
      <w:r>
        <w:rPr>
          <w:lang w:val="en-GB"/>
        </w:rPr>
        <w:t>‘</w:t>
      </w:r>
      <w:r w:rsidRPr="00C81031">
        <w:rPr>
          <w:lang w:val="en-GB"/>
        </w:rPr>
        <w:t>indefinite</w:t>
      </w:r>
      <w:r>
        <w:rPr>
          <w:lang w:val="en-GB"/>
        </w:rPr>
        <w:t>’</w:t>
      </w:r>
      <w:r w:rsidRPr="00C81031">
        <w:rPr>
          <w:lang w:val="en-GB"/>
        </w:rPr>
        <w:t xml:space="preserve"> n</w:t>
      </w:r>
      <w:r w:rsidR="009D615D">
        <w:rPr>
          <w:lang w:val="en-GB"/>
        </w:rPr>
        <w:t>odes. A</w:t>
      </w:r>
      <w:r w:rsidR="00A44931">
        <w:rPr>
          <w:lang w:val="en-GB"/>
        </w:rPr>
        <w:t xml:space="preserve">ccording to Forker (2016: 87), </w:t>
      </w:r>
      <w:r w:rsidR="009D615D">
        <w:rPr>
          <w:lang w:val="en-GB"/>
        </w:rPr>
        <w:t xml:space="preserve">this line </w:t>
      </w:r>
      <w:r w:rsidR="00A44931">
        <w:rPr>
          <w:lang w:val="en-GB"/>
        </w:rPr>
        <w:t>indicate</w:t>
      </w:r>
      <w:r w:rsidR="000F467D">
        <w:rPr>
          <w:lang w:val="en-GB"/>
        </w:rPr>
        <w:t>s</w:t>
      </w:r>
      <w:r w:rsidR="00A44931">
        <w:rPr>
          <w:lang w:val="en-GB"/>
        </w:rPr>
        <w:t xml:space="preserve"> a “significant semantic link”</w:t>
      </w:r>
      <w:r w:rsidR="000F467D">
        <w:rPr>
          <w:lang w:val="en-GB"/>
        </w:rPr>
        <w:t xml:space="preserve">, </w:t>
      </w:r>
      <w:r w:rsidR="009D615D">
        <w:rPr>
          <w:lang w:val="en-GB"/>
        </w:rPr>
        <w:t>but she does not</w:t>
      </w:r>
      <w:r w:rsidR="000F467D">
        <w:rPr>
          <w:lang w:val="en-GB"/>
        </w:rPr>
        <w:t xml:space="preserve"> elabor</w:t>
      </w:r>
      <w:r w:rsidR="009D615D">
        <w:rPr>
          <w:lang w:val="en-GB"/>
        </w:rPr>
        <w:t>ate</w:t>
      </w:r>
      <w:r w:rsidR="005F0DDF">
        <w:rPr>
          <w:lang w:val="en-GB"/>
        </w:rPr>
        <w:t xml:space="preserve"> </w:t>
      </w:r>
      <w:r w:rsidR="009F7F8B">
        <w:rPr>
          <w:lang w:val="en-GB"/>
        </w:rPr>
        <w:t>on this any further</w:t>
      </w:r>
      <w:r w:rsidR="005F0DDF">
        <w:rPr>
          <w:lang w:val="en-GB"/>
        </w:rPr>
        <w:t xml:space="preserve">. Based on a convenience sample of ca. 100 languages from all macro-areas, </w:t>
      </w:r>
      <w:r w:rsidR="008C37D8" w:rsidRPr="00C81031">
        <w:rPr>
          <w:lang w:val="en-GB"/>
        </w:rPr>
        <w:t>I will show that there is clear cross-linguistic evidence that indefinites should not be connected to scalar additiv</w:t>
      </w:r>
      <w:r w:rsidR="00AF1544">
        <w:rPr>
          <w:lang w:val="en-GB"/>
        </w:rPr>
        <w:t>es</w:t>
      </w:r>
      <w:r w:rsidR="008C37D8" w:rsidRPr="00C81031">
        <w:rPr>
          <w:lang w:val="en-GB"/>
        </w:rPr>
        <w:t xml:space="preserve">, but to the </w:t>
      </w:r>
      <w:r w:rsidR="00AF1544">
        <w:rPr>
          <w:lang w:val="en-GB"/>
        </w:rPr>
        <w:t>‘</w:t>
      </w:r>
      <w:r w:rsidR="008C37D8" w:rsidRPr="00C81031">
        <w:rPr>
          <w:lang w:val="en-GB"/>
        </w:rPr>
        <w:t>concessive</w:t>
      </w:r>
      <w:r w:rsidR="00AF1544">
        <w:rPr>
          <w:lang w:val="en-GB"/>
        </w:rPr>
        <w:t>’</w:t>
      </w:r>
      <w:r w:rsidR="008C37D8" w:rsidRPr="00C81031">
        <w:rPr>
          <w:lang w:val="en-GB"/>
        </w:rPr>
        <w:t xml:space="preserve"> node, more specifically to </w:t>
      </w:r>
      <w:r w:rsidR="008C37D8">
        <w:rPr>
          <w:lang w:val="en-GB"/>
        </w:rPr>
        <w:t>“universal concessive conditionals”</w:t>
      </w:r>
      <w:r w:rsidR="006523A6">
        <w:rPr>
          <w:lang w:val="en-GB"/>
        </w:rPr>
        <w:t xml:space="preserve"> </w:t>
      </w:r>
      <w:r w:rsidR="00864985">
        <w:rPr>
          <w:lang w:val="en-GB"/>
        </w:rPr>
        <w:t>(</w:t>
      </w:r>
      <w:r w:rsidR="006523A6">
        <w:rPr>
          <w:lang w:val="en-GB"/>
        </w:rPr>
        <w:t>UCCs</w:t>
      </w:r>
      <w:r w:rsidR="00864985">
        <w:rPr>
          <w:lang w:val="en-GB"/>
        </w:rPr>
        <w:t xml:space="preserve">, </w:t>
      </w:r>
      <w:r w:rsidR="008C37D8">
        <w:rPr>
          <w:lang w:val="en-GB"/>
        </w:rPr>
        <w:t>term coined by Haspelmath &amp; König 1998)</w:t>
      </w:r>
      <w:r w:rsidR="00BB5C07">
        <w:rPr>
          <w:lang w:val="en-GB"/>
        </w:rPr>
        <w:t>.</w:t>
      </w:r>
      <w:r w:rsidR="00D64182">
        <w:rPr>
          <w:lang w:val="en-GB"/>
        </w:rPr>
        <w:t xml:space="preserve"> </w:t>
      </w:r>
      <w:r w:rsidR="00BB5C07">
        <w:rPr>
          <w:lang w:val="en-GB"/>
        </w:rPr>
        <w:t>UCCs are</w:t>
      </w:r>
      <w:r w:rsidR="00D64182">
        <w:rPr>
          <w:lang w:val="en-GB"/>
        </w:rPr>
        <w:t xml:space="preserve"> equivalent to English ‘WH-ever / no matter WH’, cf. (3) for an example from Wolaytta.</w:t>
      </w:r>
      <w:r w:rsidR="001C7EE4" w:rsidRPr="001C7EE4">
        <w:rPr>
          <w:lang w:val="en-GB"/>
        </w:rPr>
        <w:t xml:space="preserve"> </w:t>
      </w:r>
      <w:r w:rsidR="001C7EE4">
        <w:rPr>
          <w:lang w:val="en-GB"/>
        </w:rPr>
        <w:t xml:space="preserve">The </w:t>
      </w:r>
      <w:r w:rsidR="003E5A15">
        <w:rPr>
          <w:lang w:val="en-GB"/>
        </w:rPr>
        <w:t>previously proposed “</w:t>
      </w:r>
      <w:r w:rsidR="001C7EE4">
        <w:rPr>
          <w:lang w:val="en-GB"/>
        </w:rPr>
        <w:t>link</w:t>
      </w:r>
      <w:r w:rsidR="003E5A15">
        <w:rPr>
          <w:lang w:val="en-GB"/>
        </w:rPr>
        <w:t>”</w:t>
      </w:r>
      <w:r w:rsidR="001C7EE4">
        <w:rPr>
          <w:lang w:val="en-GB"/>
        </w:rPr>
        <w:t xml:space="preserve"> between indefinites and scalar additives, </w:t>
      </w:r>
      <w:r w:rsidR="001C7EE4">
        <w:rPr>
          <w:lang w:val="en-GB"/>
        </w:rPr>
        <w:t>by contrast</w:t>
      </w:r>
      <w:r w:rsidR="001C7EE4">
        <w:rPr>
          <w:lang w:val="en-GB"/>
        </w:rPr>
        <w:t xml:space="preserve">, is simply </w:t>
      </w:r>
      <w:r w:rsidR="00001F8B">
        <w:rPr>
          <w:lang w:val="en-GB"/>
        </w:rPr>
        <w:t>brought about by the fact that</w:t>
      </w:r>
      <w:r w:rsidR="001C7EE4">
        <w:rPr>
          <w:lang w:val="en-GB"/>
        </w:rPr>
        <w:t xml:space="preserve"> additives </w:t>
      </w:r>
      <w:r w:rsidR="00001F8B">
        <w:rPr>
          <w:lang w:val="en-GB"/>
        </w:rPr>
        <w:t>which</w:t>
      </w:r>
      <w:r w:rsidR="001C7EE4">
        <w:rPr>
          <w:lang w:val="en-GB"/>
        </w:rPr>
        <w:t xml:space="preserve"> occur in UCCs </w:t>
      </w:r>
      <w:r w:rsidR="00001F8B">
        <w:rPr>
          <w:lang w:val="en-GB"/>
        </w:rPr>
        <w:t>invariably have a</w:t>
      </w:r>
      <w:r w:rsidR="001C7EE4">
        <w:rPr>
          <w:lang w:val="en-GB"/>
        </w:rPr>
        <w:t xml:space="preserve"> scalar-additive reading</w:t>
      </w:r>
      <w:r w:rsidR="00CC415E">
        <w:rPr>
          <w:lang w:val="en-GB"/>
        </w:rPr>
        <w:t xml:space="preserve"> (Forker 2016: 87).</w:t>
      </w:r>
    </w:p>
    <w:p w14:paraId="7ADE8DFE" w14:textId="293C5BC4" w:rsidR="0005025F" w:rsidRPr="00C81031" w:rsidRDefault="005B69D6" w:rsidP="00440CEE">
      <w:pPr>
        <w:spacing w:after="0" w:line="360" w:lineRule="auto"/>
        <w:ind w:firstLine="284"/>
        <w:jc w:val="both"/>
        <w:rPr>
          <w:lang w:val="en-GB"/>
        </w:rPr>
      </w:pPr>
      <w:r>
        <w:rPr>
          <w:lang w:val="en-GB"/>
        </w:rPr>
        <w:t xml:space="preserve">Forker (2016: 77) notices that </w:t>
      </w:r>
      <w:r w:rsidR="008D5194">
        <w:rPr>
          <w:lang w:val="en-GB"/>
        </w:rPr>
        <w:t>indefinites sometimes occur in UCCs, but t</w:t>
      </w:r>
      <w:r w:rsidR="006523A6">
        <w:rPr>
          <w:lang w:val="en-GB"/>
        </w:rPr>
        <w:t xml:space="preserve">his </w:t>
      </w:r>
      <w:r w:rsidR="002B59EC">
        <w:rPr>
          <w:lang w:val="en-GB"/>
        </w:rPr>
        <w:t>connection</w:t>
      </w:r>
      <w:r w:rsidR="006523A6">
        <w:rPr>
          <w:lang w:val="en-GB"/>
        </w:rPr>
        <w:t xml:space="preserve"> is not shown on </w:t>
      </w:r>
      <w:r w:rsidR="008D5194">
        <w:rPr>
          <w:lang w:val="en-GB"/>
        </w:rPr>
        <w:t xml:space="preserve">her </w:t>
      </w:r>
      <w:r w:rsidR="006523A6">
        <w:rPr>
          <w:lang w:val="en-GB"/>
        </w:rPr>
        <w:t>map</w:t>
      </w:r>
      <w:r w:rsidR="008D5194">
        <w:rPr>
          <w:lang w:val="en-GB"/>
        </w:rPr>
        <w:t>, presumably</w:t>
      </w:r>
      <w:r w:rsidR="00DC6701" w:rsidRPr="00C81031">
        <w:rPr>
          <w:lang w:val="en-GB"/>
        </w:rPr>
        <w:t xml:space="preserve"> because</w:t>
      </w:r>
      <w:r w:rsidR="00D055E2" w:rsidRPr="00C81031">
        <w:rPr>
          <w:lang w:val="en-GB"/>
        </w:rPr>
        <w:t xml:space="preserve"> </w:t>
      </w:r>
      <w:r w:rsidR="006523A6">
        <w:rPr>
          <w:lang w:val="en-GB"/>
        </w:rPr>
        <w:t>she</w:t>
      </w:r>
      <w:r w:rsidR="00D055E2" w:rsidRPr="00C81031">
        <w:rPr>
          <w:lang w:val="en-GB"/>
        </w:rPr>
        <w:t xml:space="preserve"> </w:t>
      </w:r>
      <w:r w:rsidR="004B65C4">
        <w:rPr>
          <w:lang w:val="en-GB"/>
        </w:rPr>
        <w:t>subsumes</w:t>
      </w:r>
      <w:r w:rsidR="00D055E2" w:rsidRPr="00C81031">
        <w:rPr>
          <w:lang w:val="en-GB"/>
        </w:rPr>
        <w:t xml:space="preserve"> concessive conditionals </w:t>
      </w:r>
      <w:r w:rsidR="004B65C4">
        <w:rPr>
          <w:lang w:val="en-GB"/>
        </w:rPr>
        <w:t>and</w:t>
      </w:r>
      <w:r w:rsidR="00D055E2" w:rsidRPr="00C81031">
        <w:rPr>
          <w:lang w:val="en-GB"/>
        </w:rPr>
        <w:t xml:space="preserve"> concessives proper</w:t>
      </w:r>
      <w:r w:rsidR="00AD629F">
        <w:rPr>
          <w:lang w:val="en-GB"/>
        </w:rPr>
        <w:t xml:space="preserve"> (‘although </w:t>
      </w:r>
      <w:r w:rsidR="00AD629F">
        <w:rPr>
          <w:i/>
          <w:lang w:val="en-GB"/>
        </w:rPr>
        <w:t>p</w:t>
      </w:r>
      <w:r w:rsidR="00AD629F">
        <w:rPr>
          <w:lang w:val="en-GB"/>
        </w:rPr>
        <w:t xml:space="preserve">, </w:t>
      </w:r>
      <w:r w:rsidR="00AD629F">
        <w:rPr>
          <w:i/>
          <w:lang w:val="en-GB"/>
        </w:rPr>
        <w:t>q</w:t>
      </w:r>
      <w:r w:rsidR="00AD629F">
        <w:rPr>
          <w:lang w:val="en-GB"/>
        </w:rPr>
        <w:t>’)</w:t>
      </w:r>
      <w:r w:rsidR="00D055E2" w:rsidRPr="00C81031">
        <w:rPr>
          <w:lang w:val="en-GB"/>
        </w:rPr>
        <w:t xml:space="preserve"> under the same node.</w:t>
      </w:r>
      <w:r w:rsidR="00BE5A02">
        <w:rPr>
          <w:lang w:val="en-GB"/>
        </w:rPr>
        <w:t xml:space="preserve"> The </w:t>
      </w:r>
      <w:r w:rsidR="0028236D">
        <w:rPr>
          <w:lang w:val="en-GB"/>
        </w:rPr>
        <w:t>‘</w:t>
      </w:r>
      <w:r w:rsidR="00BE5A02">
        <w:rPr>
          <w:lang w:val="en-GB"/>
        </w:rPr>
        <w:t>indefinite</w:t>
      </w:r>
      <w:r w:rsidR="0028236D">
        <w:rPr>
          <w:lang w:val="en-GB"/>
        </w:rPr>
        <w:t>’</w:t>
      </w:r>
      <w:r w:rsidR="00BE5A02">
        <w:rPr>
          <w:lang w:val="en-GB"/>
        </w:rPr>
        <w:t xml:space="preserve"> node</w:t>
      </w:r>
      <w:r w:rsidR="004B65C4">
        <w:rPr>
          <w:lang w:val="en-GB"/>
        </w:rPr>
        <w:t>, too,</w:t>
      </w:r>
      <w:r w:rsidR="00BE5A02">
        <w:rPr>
          <w:lang w:val="en-GB"/>
        </w:rPr>
        <w:t xml:space="preserve"> is complex</w:t>
      </w:r>
      <w:r w:rsidR="0023591F">
        <w:rPr>
          <w:lang w:val="en-GB"/>
        </w:rPr>
        <w:t>, comprising</w:t>
      </w:r>
      <w:r w:rsidR="00BE5A02">
        <w:rPr>
          <w:lang w:val="en-GB"/>
        </w:rPr>
        <w:t xml:space="preserve"> specific, universal, negative, and free-choice indefinites</w:t>
      </w:r>
      <w:r w:rsidR="00864985">
        <w:rPr>
          <w:lang w:val="en-GB"/>
        </w:rPr>
        <w:t xml:space="preserve"> (FCIs)</w:t>
      </w:r>
      <w:r w:rsidR="0023591F">
        <w:rPr>
          <w:lang w:val="en-GB"/>
        </w:rPr>
        <w:t xml:space="preserve"> (</w:t>
      </w:r>
      <w:r w:rsidR="00864985">
        <w:rPr>
          <w:lang w:val="en-GB"/>
        </w:rPr>
        <w:t>Forker 2016</w:t>
      </w:r>
      <w:r w:rsidR="00BE5A02">
        <w:rPr>
          <w:lang w:val="en-GB"/>
        </w:rPr>
        <w:t>: 79).</w:t>
      </w:r>
      <w:r w:rsidR="00D055E2" w:rsidRPr="00C81031">
        <w:rPr>
          <w:lang w:val="en-GB"/>
        </w:rPr>
        <w:t xml:space="preserve"> Once disentangled, it becomes clear that</w:t>
      </w:r>
      <w:r w:rsidR="00BE5A02">
        <w:rPr>
          <w:lang w:val="en-GB"/>
        </w:rPr>
        <w:t xml:space="preserve"> </w:t>
      </w:r>
      <w:r w:rsidR="003169ED">
        <w:rPr>
          <w:lang w:val="en-GB"/>
        </w:rPr>
        <w:t xml:space="preserve">UCCs are connected </w:t>
      </w:r>
      <w:r w:rsidR="00A264D1">
        <w:rPr>
          <w:lang w:val="en-GB"/>
        </w:rPr>
        <w:t xml:space="preserve">to </w:t>
      </w:r>
      <w:r w:rsidR="00495F3B">
        <w:rPr>
          <w:lang w:val="en-GB"/>
        </w:rPr>
        <w:t>FCIs</w:t>
      </w:r>
      <w:r w:rsidR="00225397" w:rsidRPr="00C81031">
        <w:rPr>
          <w:lang w:val="en-GB"/>
        </w:rPr>
        <w:t xml:space="preserve">. In </w:t>
      </w:r>
      <w:r w:rsidR="00A57833" w:rsidRPr="00C81031">
        <w:rPr>
          <w:lang w:val="en-GB"/>
        </w:rPr>
        <w:t>Wolaytta</w:t>
      </w:r>
      <w:r w:rsidR="00225397" w:rsidRPr="00C81031">
        <w:rPr>
          <w:lang w:val="en-GB"/>
        </w:rPr>
        <w:t>, for</w:t>
      </w:r>
      <w:r w:rsidR="00A57833" w:rsidRPr="00C81031">
        <w:rPr>
          <w:lang w:val="en-GB"/>
        </w:rPr>
        <w:t xml:space="preserve"> example</w:t>
      </w:r>
      <w:r w:rsidR="00225397" w:rsidRPr="00C81031">
        <w:rPr>
          <w:lang w:val="en-GB"/>
        </w:rPr>
        <w:t>,</w:t>
      </w:r>
      <w:r w:rsidR="00A57833" w:rsidRPr="00C81031">
        <w:rPr>
          <w:lang w:val="en-GB"/>
        </w:rPr>
        <w:t xml:space="preserve"> </w:t>
      </w:r>
      <w:r w:rsidR="00BE5A02">
        <w:rPr>
          <w:lang w:val="en-GB"/>
        </w:rPr>
        <w:t xml:space="preserve">both </w:t>
      </w:r>
      <w:r w:rsidR="00246327">
        <w:rPr>
          <w:lang w:val="en-GB"/>
        </w:rPr>
        <w:t>FCIs</w:t>
      </w:r>
      <w:r w:rsidR="00082305" w:rsidRPr="00C81031">
        <w:rPr>
          <w:lang w:val="en-GB"/>
        </w:rPr>
        <w:t xml:space="preserve"> (</w:t>
      </w:r>
      <w:r w:rsidR="00995B93">
        <w:rPr>
          <w:lang w:val="en-GB"/>
        </w:rPr>
        <w:t>2</w:t>
      </w:r>
      <w:r w:rsidR="00082305" w:rsidRPr="00C81031">
        <w:rPr>
          <w:lang w:val="en-GB"/>
        </w:rPr>
        <w:t>)</w:t>
      </w:r>
      <w:r w:rsidR="00225397" w:rsidRPr="00C81031">
        <w:rPr>
          <w:lang w:val="en-GB"/>
        </w:rPr>
        <w:t xml:space="preserve"> and </w:t>
      </w:r>
      <w:r w:rsidR="00246327">
        <w:rPr>
          <w:lang w:val="en-GB"/>
        </w:rPr>
        <w:t>UCCs</w:t>
      </w:r>
      <w:r w:rsidR="00225397" w:rsidRPr="00C81031">
        <w:rPr>
          <w:lang w:val="en-GB"/>
        </w:rPr>
        <w:t xml:space="preserve"> </w:t>
      </w:r>
      <w:r w:rsidR="00082305" w:rsidRPr="00C81031">
        <w:rPr>
          <w:lang w:val="en-GB"/>
        </w:rPr>
        <w:t>(</w:t>
      </w:r>
      <w:r w:rsidR="00995B93">
        <w:rPr>
          <w:lang w:val="en-GB"/>
        </w:rPr>
        <w:t>3</w:t>
      </w:r>
      <w:r w:rsidR="00082305" w:rsidRPr="00C81031">
        <w:rPr>
          <w:lang w:val="en-GB"/>
        </w:rPr>
        <w:t>)</w:t>
      </w:r>
      <w:r w:rsidR="00225397" w:rsidRPr="00C81031">
        <w:rPr>
          <w:lang w:val="en-GB"/>
        </w:rPr>
        <w:t xml:space="preserve"> are formed by adding the additive </w:t>
      </w:r>
      <w:r w:rsidR="006C3F5B">
        <w:rPr>
          <w:lang w:val="en-GB"/>
        </w:rPr>
        <w:t>marker</w:t>
      </w:r>
      <w:r w:rsidR="00225397" w:rsidRPr="00C81031">
        <w:rPr>
          <w:lang w:val="en-GB"/>
        </w:rPr>
        <w:t xml:space="preserve"> </w:t>
      </w:r>
      <w:r w:rsidR="00225397" w:rsidRPr="00C81031">
        <w:rPr>
          <w:i/>
          <w:lang w:val="en-GB"/>
        </w:rPr>
        <w:t>-kka</w:t>
      </w:r>
      <w:r w:rsidR="00225397" w:rsidRPr="00C81031">
        <w:rPr>
          <w:lang w:val="en-GB"/>
        </w:rPr>
        <w:t xml:space="preserve"> to a question word or a conditional clause containing a question word, respectively.</w:t>
      </w:r>
      <w:r w:rsidR="008F75A2">
        <w:rPr>
          <w:lang w:val="en-GB"/>
        </w:rPr>
        <w:t xml:space="preserve"> Similar patterns are found in other language</w:t>
      </w:r>
      <w:r w:rsidR="00902A07">
        <w:rPr>
          <w:lang w:val="en-GB"/>
        </w:rPr>
        <w:t>s</w:t>
      </w:r>
      <w:r w:rsidR="009D40EB">
        <w:rPr>
          <w:lang w:val="en-GB"/>
        </w:rPr>
        <w:t>,</w:t>
      </w:r>
      <w:r w:rsidR="00902A07">
        <w:rPr>
          <w:lang w:val="en-GB"/>
        </w:rPr>
        <w:t xml:space="preserve"> like</w:t>
      </w:r>
      <w:r w:rsidR="008F75A2">
        <w:rPr>
          <w:lang w:val="en-GB"/>
        </w:rPr>
        <w:t xml:space="preserve"> </w:t>
      </w:r>
      <w:r w:rsidR="00661CF9">
        <w:rPr>
          <w:lang w:val="en-GB"/>
        </w:rPr>
        <w:t>Mbosi (Bantu</w:t>
      </w:r>
      <w:r w:rsidR="00902A07">
        <w:rPr>
          <w:lang w:val="en-GB"/>
        </w:rPr>
        <w:t>, Republic of the Congo</w:t>
      </w:r>
      <w:r w:rsidR="00661CF9">
        <w:rPr>
          <w:lang w:val="en-GB"/>
        </w:rPr>
        <w:t>), Tamil (Dravidian</w:t>
      </w:r>
      <w:r w:rsidR="00902A07">
        <w:rPr>
          <w:lang w:val="en-GB"/>
        </w:rPr>
        <w:t>, India</w:t>
      </w:r>
      <w:r w:rsidR="00661CF9">
        <w:rPr>
          <w:lang w:val="en-GB"/>
        </w:rPr>
        <w:t xml:space="preserve">), and </w:t>
      </w:r>
      <w:r w:rsidR="00902A07">
        <w:rPr>
          <w:lang w:val="en-GB"/>
        </w:rPr>
        <w:t>Huallaga Quechua (</w:t>
      </w:r>
      <w:r w:rsidR="00661CF9">
        <w:rPr>
          <w:lang w:val="en-GB"/>
        </w:rPr>
        <w:t>Quechuan</w:t>
      </w:r>
      <w:r w:rsidR="00E64342">
        <w:rPr>
          <w:lang w:val="en-GB"/>
        </w:rPr>
        <w:t>, Peru)</w:t>
      </w:r>
      <w:r w:rsidR="00661CF9">
        <w:rPr>
          <w:lang w:val="en-GB"/>
        </w:rPr>
        <w:t xml:space="preserve">, </w:t>
      </w:r>
      <w:r w:rsidR="00FE7963">
        <w:rPr>
          <w:lang w:val="en-GB"/>
        </w:rPr>
        <w:t>among others</w:t>
      </w:r>
      <w:r w:rsidR="00661CF9">
        <w:rPr>
          <w:lang w:val="en-GB"/>
        </w:rPr>
        <w:t>.</w:t>
      </w:r>
      <w:r w:rsidR="00440CEE">
        <w:rPr>
          <w:lang w:val="en-GB"/>
        </w:rPr>
        <w:t xml:space="preserve"> </w:t>
      </w:r>
    </w:p>
    <w:p w14:paraId="0F5945CF" w14:textId="5640E743" w:rsidR="00495F3B" w:rsidRPr="004A4C21" w:rsidRDefault="00225397" w:rsidP="00495F3B">
      <w:pPr>
        <w:spacing w:after="0" w:line="360" w:lineRule="auto"/>
        <w:ind w:firstLine="284"/>
        <w:jc w:val="both"/>
        <w:rPr>
          <w:lang w:val="en-GB"/>
        </w:rPr>
      </w:pPr>
      <w:r w:rsidRPr="00C81031">
        <w:rPr>
          <w:lang w:val="en-GB"/>
        </w:rPr>
        <w:t>Having</w:t>
      </w:r>
      <w:r w:rsidR="0005025F" w:rsidRPr="00C81031">
        <w:rPr>
          <w:lang w:val="en-GB"/>
        </w:rPr>
        <w:t xml:space="preserve"> demonstrat</w:t>
      </w:r>
      <w:r w:rsidR="00FA76C1">
        <w:rPr>
          <w:lang w:val="en-GB"/>
        </w:rPr>
        <w:t>ed</w:t>
      </w:r>
      <w:r w:rsidR="0005025F" w:rsidRPr="00C81031">
        <w:rPr>
          <w:lang w:val="en-GB"/>
        </w:rPr>
        <w:t xml:space="preserve"> this, I will </w:t>
      </w:r>
      <w:r w:rsidR="0019704F">
        <w:rPr>
          <w:lang w:val="en-GB"/>
        </w:rPr>
        <w:t xml:space="preserve">briefly </w:t>
      </w:r>
      <w:r w:rsidR="0005025F" w:rsidRPr="00C81031">
        <w:rPr>
          <w:lang w:val="en-GB"/>
        </w:rPr>
        <w:t xml:space="preserve">discuss </w:t>
      </w:r>
      <w:r w:rsidRPr="00C81031">
        <w:rPr>
          <w:lang w:val="en-GB"/>
        </w:rPr>
        <w:t>the diachrony</w:t>
      </w:r>
      <w:r w:rsidR="0023591F">
        <w:rPr>
          <w:lang w:val="en-GB"/>
        </w:rPr>
        <w:t xml:space="preserve"> of this connection</w:t>
      </w:r>
      <w:r w:rsidRPr="00C81031">
        <w:rPr>
          <w:lang w:val="en-GB"/>
        </w:rPr>
        <w:t>, i.e. whether</w:t>
      </w:r>
      <w:r w:rsidR="00732160">
        <w:rPr>
          <w:lang w:val="en-GB"/>
        </w:rPr>
        <w:t xml:space="preserve"> </w:t>
      </w:r>
      <w:r w:rsidR="00073219">
        <w:rPr>
          <w:lang w:val="en-GB"/>
        </w:rPr>
        <w:t>FCIs</w:t>
      </w:r>
      <w:r w:rsidR="00732160">
        <w:rPr>
          <w:lang w:val="en-GB"/>
        </w:rPr>
        <w:t xml:space="preserve"> introduce UCCs</w:t>
      </w:r>
      <w:r w:rsidR="00703A88">
        <w:rPr>
          <w:lang w:val="en-GB"/>
        </w:rPr>
        <w:t xml:space="preserve"> (as Forker 2016: 77 implies, cf. above)</w:t>
      </w:r>
      <w:r w:rsidR="00732160">
        <w:rPr>
          <w:lang w:val="en-GB"/>
        </w:rPr>
        <w:t xml:space="preserve"> or whether</w:t>
      </w:r>
      <w:r w:rsidRPr="00C81031">
        <w:rPr>
          <w:lang w:val="en-GB"/>
        </w:rPr>
        <w:t xml:space="preserve"> </w:t>
      </w:r>
      <w:r w:rsidR="00073219">
        <w:rPr>
          <w:lang w:val="en-GB"/>
        </w:rPr>
        <w:t>FCIs</w:t>
      </w:r>
      <w:r w:rsidRPr="00C81031">
        <w:rPr>
          <w:lang w:val="en-GB"/>
        </w:rPr>
        <w:t xml:space="preserve"> develop out of </w:t>
      </w:r>
      <w:r w:rsidR="00073219">
        <w:rPr>
          <w:lang w:val="en-GB"/>
        </w:rPr>
        <w:t>UCCs</w:t>
      </w:r>
      <w:r w:rsidR="00495F3B">
        <w:rPr>
          <w:lang w:val="en-GB"/>
        </w:rPr>
        <w:t xml:space="preserve"> (</w:t>
      </w:r>
      <w:r w:rsidR="00046D1E">
        <w:rPr>
          <w:lang w:val="en-GB"/>
        </w:rPr>
        <w:t xml:space="preserve">cf. </w:t>
      </w:r>
      <w:r w:rsidR="00495F3B">
        <w:rPr>
          <w:lang w:val="en-GB"/>
        </w:rPr>
        <w:t>Haspelmath 1997: 159–163)</w:t>
      </w:r>
      <w:r w:rsidR="005C4897">
        <w:rPr>
          <w:lang w:val="en-GB"/>
        </w:rPr>
        <w:t>, with tentative evidence pointing towards the latter scenario.</w:t>
      </w:r>
    </w:p>
    <w:p w14:paraId="143421DA" w14:textId="124F021D" w:rsidR="00225397" w:rsidRPr="00C81031" w:rsidRDefault="00225397" w:rsidP="004A4C21">
      <w:pPr>
        <w:spacing w:before="240" w:after="0" w:line="240" w:lineRule="auto"/>
        <w:jc w:val="both"/>
        <w:rPr>
          <w:u w:val="single"/>
          <w:lang w:val="en-GB"/>
        </w:rPr>
      </w:pPr>
      <w:r w:rsidRPr="00C81031">
        <w:rPr>
          <w:u w:val="single"/>
          <w:lang w:val="en-GB"/>
        </w:rPr>
        <w:t>References</w:t>
      </w:r>
    </w:p>
    <w:p w14:paraId="28D7264B" w14:textId="3936261D" w:rsidR="00225397" w:rsidRDefault="00225397" w:rsidP="004A4C21">
      <w:pPr>
        <w:spacing w:after="0" w:line="240" w:lineRule="auto"/>
        <w:ind w:left="284" w:hanging="284"/>
        <w:jc w:val="both"/>
        <w:rPr>
          <w:lang w:val="en-GB"/>
        </w:rPr>
      </w:pPr>
      <w:r w:rsidRPr="00C81031">
        <w:rPr>
          <w:lang w:val="en-GB"/>
        </w:rPr>
        <w:t xml:space="preserve">Forker, Diana. 2016. Toward a typology for additive markers. </w:t>
      </w:r>
      <w:r w:rsidRPr="00C81031">
        <w:rPr>
          <w:i/>
          <w:lang w:val="en-GB"/>
        </w:rPr>
        <w:t>Lingua</w:t>
      </w:r>
      <w:r w:rsidRPr="00C81031">
        <w:rPr>
          <w:lang w:val="en-GB"/>
        </w:rPr>
        <w:t xml:space="preserve"> 180, 69–100.</w:t>
      </w:r>
    </w:p>
    <w:p w14:paraId="73DC43F4" w14:textId="342CEC2F" w:rsidR="00495F3B" w:rsidRPr="00495F3B" w:rsidRDefault="00495F3B" w:rsidP="004A4C21">
      <w:pPr>
        <w:spacing w:after="0" w:line="240" w:lineRule="auto"/>
        <w:ind w:left="284" w:hanging="284"/>
        <w:jc w:val="both"/>
        <w:rPr>
          <w:lang w:val="en-GB"/>
        </w:rPr>
      </w:pPr>
      <w:r w:rsidRPr="00495F3B">
        <w:rPr>
          <w:lang w:val="en-GB"/>
        </w:rPr>
        <w:t xml:space="preserve">Haspelmath, Martin. 1997. </w:t>
      </w:r>
      <w:r w:rsidRPr="00495F3B">
        <w:rPr>
          <w:i/>
          <w:lang w:val="en-GB"/>
        </w:rPr>
        <w:t>I</w:t>
      </w:r>
      <w:r>
        <w:rPr>
          <w:i/>
          <w:lang w:val="en-GB"/>
        </w:rPr>
        <w:t>ndefinite pronouns</w:t>
      </w:r>
      <w:r>
        <w:rPr>
          <w:lang w:val="en-GB"/>
        </w:rPr>
        <w:t>. Oxford: Oxford University Press.</w:t>
      </w:r>
    </w:p>
    <w:p w14:paraId="58AE8D13" w14:textId="1C0352B1" w:rsidR="00225397" w:rsidRDefault="00225397" w:rsidP="004A4C21">
      <w:pPr>
        <w:spacing w:after="0" w:line="240" w:lineRule="auto"/>
        <w:ind w:left="284" w:hanging="284"/>
        <w:jc w:val="both"/>
        <w:rPr>
          <w:lang w:val="en-GB"/>
        </w:rPr>
      </w:pPr>
      <w:r w:rsidRPr="00495F3B">
        <w:rPr>
          <w:lang w:val="en-GB"/>
        </w:rPr>
        <w:t xml:space="preserve">Haspelmath, Martin &amp; Ekkehard König. </w:t>
      </w:r>
      <w:r w:rsidRPr="00C81031">
        <w:rPr>
          <w:lang w:val="en-GB"/>
        </w:rPr>
        <w:t xml:space="preserve">1998. Concessive conditionals in the languages of Europe. In Johan van der Auwera (ed.), </w:t>
      </w:r>
      <w:r w:rsidRPr="00C81031">
        <w:rPr>
          <w:i/>
          <w:lang w:val="en-GB"/>
        </w:rPr>
        <w:t>Adverbial constructions in the languages of Europe</w:t>
      </w:r>
      <w:r w:rsidRPr="00C81031">
        <w:rPr>
          <w:lang w:val="en-GB"/>
        </w:rPr>
        <w:t>. Berlin: de Gruyter, 56</w:t>
      </w:r>
      <w:r w:rsidR="00C81031" w:rsidRPr="00C81031">
        <w:rPr>
          <w:lang w:val="en-GB"/>
        </w:rPr>
        <w:t>3–640.</w:t>
      </w:r>
    </w:p>
    <w:p w14:paraId="6107BE50" w14:textId="3B3E97B5" w:rsidR="00495F3B" w:rsidRDefault="00225397" w:rsidP="007E4462">
      <w:pPr>
        <w:spacing w:after="120" w:line="240" w:lineRule="auto"/>
        <w:ind w:left="284" w:hanging="284"/>
        <w:jc w:val="both"/>
        <w:rPr>
          <w:lang w:val="en-GB"/>
        </w:rPr>
      </w:pPr>
      <w:r w:rsidRPr="00495F3B">
        <w:rPr>
          <w:lang w:val="en-GB"/>
        </w:rPr>
        <w:t>Wasaka</w:t>
      </w:r>
      <w:r w:rsidR="00C81031" w:rsidRPr="00495F3B">
        <w:rPr>
          <w:lang w:val="en-GB"/>
        </w:rPr>
        <w:t>, Motomichi.</w:t>
      </w:r>
      <w:r w:rsidRPr="00495F3B">
        <w:rPr>
          <w:lang w:val="en-GB"/>
        </w:rPr>
        <w:t xml:space="preserve"> </w:t>
      </w:r>
      <w:r w:rsidRPr="00C81031">
        <w:rPr>
          <w:lang w:val="en-GB"/>
        </w:rPr>
        <w:t>2008</w:t>
      </w:r>
      <w:r w:rsidR="00C81031" w:rsidRPr="00C81031">
        <w:rPr>
          <w:lang w:val="en-GB"/>
        </w:rPr>
        <w:t xml:space="preserve">. </w:t>
      </w:r>
      <w:r w:rsidR="00C81031" w:rsidRPr="00C81031">
        <w:rPr>
          <w:i/>
          <w:lang w:val="en-GB"/>
        </w:rPr>
        <w:t>A descriptive study of the modern Wolaytta language</w:t>
      </w:r>
      <w:r w:rsidR="00C81031" w:rsidRPr="00C81031">
        <w:rPr>
          <w:lang w:val="en-GB"/>
        </w:rPr>
        <w:t>. Doctoral dissertation, University of Tokyo.</w:t>
      </w:r>
    </w:p>
    <w:p w14:paraId="6805C843" w14:textId="77777777" w:rsidR="007049B4" w:rsidRPr="00C81031" w:rsidRDefault="007049B4" w:rsidP="007049B4">
      <w:pPr>
        <w:spacing w:after="0" w:line="360" w:lineRule="auto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3AD7886" wp14:editId="30F54D20">
            <wp:extent cx="5731510" cy="2991485"/>
            <wp:effectExtent l="0" t="0" r="2540" b="0"/>
            <wp:docPr id="151864941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9414" name="Picture 1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9B2A" w14:textId="77777777" w:rsidR="007049B4" w:rsidRPr="0023591F" w:rsidRDefault="007049B4" w:rsidP="007049B4">
      <w:pPr>
        <w:spacing w:after="240" w:line="360" w:lineRule="auto"/>
        <w:jc w:val="center"/>
        <w:rPr>
          <w:sz w:val="20"/>
          <w:szCs w:val="20"/>
          <w:lang w:val="en-GB"/>
        </w:rPr>
      </w:pPr>
      <w:r w:rsidRPr="00943FD9">
        <w:rPr>
          <w:sz w:val="20"/>
          <w:szCs w:val="20"/>
          <w:lang w:val="en-GB"/>
        </w:rPr>
        <w:t>Figure 1: Semantic map of additivity by Forker (2016)</w:t>
      </w:r>
    </w:p>
    <w:p w14:paraId="4D258807" w14:textId="7CA134B8" w:rsidR="004A4C21" w:rsidRPr="004A4C21" w:rsidRDefault="004A4C21" w:rsidP="004A4C21">
      <w:pPr>
        <w:spacing w:after="0" w:line="360" w:lineRule="auto"/>
        <w:jc w:val="both"/>
        <w:rPr>
          <w:lang w:val="en-GB"/>
        </w:rPr>
      </w:pPr>
      <w:r w:rsidRPr="004A4C21">
        <w:rPr>
          <w:lang w:val="en-GB"/>
        </w:rPr>
        <w:t>(1)</w:t>
      </w:r>
      <w:r w:rsidRPr="004A4C21">
        <w:rPr>
          <w:lang w:val="en-GB"/>
        </w:rPr>
        <w:tab/>
      </w:r>
      <w:r w:rsidRPr="004A4C21">
        <w:rPr>
          <w:lang w:val="en-GB"/>
        </w:rPr>
        <w:tab/>
        <w:t>Wolaytta (Wasaka 2008: 696)</w:t>
      </w:r>
    </w:p>
    <w:p w14:paraId="33E0435E" w14:textId="77777777" w:rsidR="004A4C21" w:rsidRPr="00BE5A02" w:rsidRDefault="004A4C21" w:rsidP="004A4C21">
      <w:pPr>
        <w:spacing w:after="0" w:line="360" w:lineRule="auto"/>
        <w:ind w:left="284" w:firstLine="284"/>
        <w:jc w:val="both"/>
        <w:rPr>
          <w:lang w:val="fr-BE"/>
        </w:rPr>
      </w:pPr>
      <w:r w:rsidRPr="00BE5A02">
        <w:rPr>
          <w:i/>
          <w:iCs/>
          <w:lang w:val="fr-BE"/>
        </w:rPr>
        <w:t xml:space="preserve">ta-kan-áa </w:t>
      </w:r>
      <w:r w:rsidRPr="00BE5A02">
        <w:rPr>
          <w:i/>
          <w:iCs/>
          <w:lang w:val="fr-BE"/>
        </w:rPr>
        <w:tab/>
      </w:r>
      <w:r w:rsidRPr="00BE5A02">
        <w:rPr>
          <w:i/>
          <w:iCs/>
          <w:lang w:val="fr-BE"/>
        </w:rPr>
        <w:tab/>
      </w:r>
      <w:r w:rsidRPr="00BE5A02">
        <w:rPr>
          <w:i/>
          <w:iCs/>
          <w:lang w:val="fr-BE"/>
        </w:rPr>
        <w:tab/>
        <w:t xml:space="preserve">súnt-ai </w:t>
      </w:r>
      <w:r w:rsidRPr="00BE5A02">
        <w:rPr>
          <w:i/>
          <w:iCs/>
          <w:lang w:val="fr-BE"/>
        </w:rPr>
        <w:tab/>
      </w:r>
      <w:r w:rsidRPr="00BE5A02">
        <w:rPr>
          <w:i/>
          <w:iCs/>
          <w:lang w:val="fr-BE"/>
        </w:rPr>
        <w:tab/>
      </w:r>
      <w:r w:rsidRPr="00BE5A02">
        <w:rPr>
          <w:i/>
          <w:iCs/>
          <w:lang w:val="fr-BE"/>
        </w:rPr>
        <w:tab/>
      </w:r>
      <w:r w:rsidRPr="00BE5A02">
        <w:rPr>
          <w:i/>
          <w:iCs/>
          <w:lang w:val="fr-BE"/>
        </w:rPr>
        <w:tab/>
        <w:t>Sarká</w:t>
      </w:r>
    </w:p>
    <w:p w14:paraId="3D854A49" w14:textId="77777777" w:rsidR="004A4C21" w:rsidRPr="00C81031" w:rsidRDefault="004A4C21" w:rsidP="004A4C21">
      <w:pPr>
        <w:spacing w:after="0" w:line="360" w:lineRule="auto"/>
        <w:ind w:left="284" w:firstLine="284"/>
        <w:rPr>
          <w:lang w:val="en-GB"/>
        </w:rPr>
      </w:pPr>
      <w:r w:rsidRPr="00C81031">
        <w:rPr>
          <w:lang w:val="en-GB"/>
        </w:rPr>
        <w:t>my-dog-</w:t>
      </w:r>
      <w:r w:rsidRPr="00C81031">
        <w:rPr>
          <w:smallCaps/>
          <w:lang w:val="en-GB"/>
        </w:rPr>
        <w:t>obl.m.sg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name-</w:t>
      </w:r>
      <w:r w:rsidRPr="00C81031">
        <w:rPr>
          <w:smallCaps/>
          <w:lang w:val="en-GB"/>
        </w:rPr>
        <w:t>nom.m.sg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Sarka</w:t>
      </w:r>
    </w:p>
    <w:p w14:paraId="3D7FA3E4" w14:textId="77777777" w:rsidR="004A4C21" w:rsidRPr="00C81031" w:rsidRDefault="004A4C21" w:rsidP="004A4C21">
      <w:pPr>
        <w:spacing w:after="0" w:line="360" w:lineRule="auto"/>
        <w:ind w:left="284" w:firstLine="284"/>
        <w:rPr>
          <w:i/>
          <w:iCs/>
          <w:lang w:val="en-GB"/>
        </w:rPr>
      </w:pPr>
      <w:r w:rsidRPr="00C81031">
        <w:rPr>
          <w:i/>
          <w:iCs/>
          <w:lang w:val="en-GB"/>
        </w:rPr>
        <w:t xml:space="preserve">ha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 xml:space="preserve">bitán-iya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>súnt-ai-</w:t>
      </w:r>
      <w:r w:rsidRPr="00C81031">
        <w:rPr>
          <w:b/>
          <w:bCs/>
          <w:i/>
          <w:iCs/>
          <w:lang w:val="en-GB"/>
        </w:rPr>
        <w:t>kka</w:t>
      </w:r>
      <w:r w:rsidRPr="00C81031">
        <w:rPr>
          <w:i/>
          <w:iCs/>
          <w:lang w:val="en-GB"/>
        </w:rPr>
        <w:t xml:space="preserve">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>Sarká</w:t>
      </w:r>
    </w:p>
    <w:p w14:paraId="64BF45B5" w14:textId="77777777" w:rsidR="004A4C21" w:rsidRPr="00C81031" w:rsidRDefault="004A4C21" w:rsidP="004A4C21">
      <w:pPr>
        <w:spacing w:after="0" w:line="360" w:lineRule="auto"/>
        <w:ind w:left="284" w:firstLine="284"/>
        <w:rPr>
          <w:lang w:val="en-GB"/>
        </w:rPr>
      </w:pPr>
      <w:r w:rsidRPr="00C81031">
        <w:rPr>
          <w:lang w:val="en-GB"/>
        </w:rPr>
        <w:t xml:space="preserve">this </w:t>
      </w:r>
      <w:r w:rsidRPr="00C81031">
        <w:rPr>
          <w:lang w:val="en-GB"/>
        </w:rPr>
        <w:tab/>
        <w:t>man-</w:t>
      </w:r>
      <w:r w:rsidRPr="00C81031">
        <w:rPr>
          <w:smallCaps/>
          <w:lang w:val="en-GB"/>
        </w:rPr>
        <w:t>obl.m.sg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name-</w:t>
      </w:r>
      <w:r w:rsidRPr="00C81031">
        <w:rPr>
          <w:smallCaps/>
          <w:lang w:val="en-GB"/>
        </w:rPr>
        <w:t>nom.m.sg-add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Sarka</w:t>
      </w:r>
    </w:p>
    <w:p w14:paraId="18E20F77" w14:textId="77777777" w:rsidR="004A4C21" w:rsidRPr="00C81031" w:rsidRDefault="004A4C21" w:rsidP="007049B4">
      <w:pPr>
        <w:spacing w:after="120" w:line="360" w:lineRule="auto"/>
        <w:ind w:left="284" w:firstLine="284"/>
        <w:rPr>
          <w:lang w:val="en-GB"/>
        </w:rPr>
      </w:pPr>
      <w:r w:rsidRPr="00C81031">
        <w:rPr>
          <w:lang w:val="en-GB"/>
        </w:rPr>
        <w:t>‘My dog’s name is Sarka. This man’s name is also Sarka.’</w:t>
      </w:r>
    </w:p>
    <w:p w14:paraId="13AE60A5" w14:textId="524D9616" w:rsidR="004A4C21" w:rsidRPr="00C81031" w:rsidRDefault="004A4C21" w:rsidP="004A4C21">
      <w:pPr>
        <w:spacing w:after="0" w:line="360" w:lineRule="auto"/>
        <w:jc w:val="both"/>
        <w:rPr>
          <w:lang w:val="en-GB"/>
        </w:rPr>
      </w:pPr>
      <w:r w:rsidRPr="00C81031">
        <w:rPr>
          <w:lang w:val="en-GB"/>
        </w:rPr>
        <w:t>(</w:t>
      </w:r>
      <w:r w:rsidR="00751AB9">
        <w:rPr>
          <w:lang w:val="en-GB"/>
        </w:rPr>
        <w:t>2</w:t>
      </w:r>
      <w:r w:rsidRPr="00C81031">
        <w:rPr>
          <w:lang w:val="en-GB"/>
        </w:rPr>
        <w:t>)</w:t>
      </w:r>
      <w:r w:rsidRPr="00C81031">
        <w:rPr>
          <w:lang w:val="en-GB"/>
        </w:rPr>
        <w:tab/>
      </w:r>
      <w:r w:rsidRPr="00C81031">
        <w:rPr>
          <w:lang w:val="en-GB"/>
        </w:rPr>
        <w:tab/>
        <w:t>Wolaytta (Wasaka 2008: 435)</w:t>
      </w:r>
    </w:p>
    <w:p w14:paraId="23BE5B35" w14:textId="77777777" w:rsidR="004A4C21" w:rsidRPr="00C81031" w:rsidRDefault="004A4C21" w:rsidP="004A4C21">
      <w:pPr>
        <w:spacing w:after="0" w:line="360" w:lineRule="auto"/>
        <w:jc w:val="both"/>
        <w:rPr>
          <w:i/>
          <w:iCs/>
          <w:lang w:val="en-GB"/>
        </w:rPr>
      </w:pPr>
      <w:r w:rsidRPr="00C81031">
        <w:rPr>
          <w:lang w:val="en-GB"/>
        </w:rPr>
        <w:tab/>
      </w:r>
      <w:r w:rsidRPr="00C81031">
        <w:rPr>
          <w:lang w:val="en-GB"/>
        </w:rPr>
        <w:tab/>
      </w:r>
      <w:r w:rsidRPr="00C94525">
        <w:rPr>
          <w:i/>
          <w:iCs/>
          <w:lang w:val="en-GB"/>
        </w:rPr>
        <w:t>ʔóóní</w:t>
      </w:r>
      <w:r w:rsidRPr="00C81031">
        <w:rPr>
          <w:b/>
          <w:bCs/>
          <w:i/>
          <w:iCs/>
          <w:lang w:val="en-GB"/>
        </w:rPr>
        <w:t>-kká</w:t>
      </w:r>
      <w:r w:rsidRPr="00C81031">
        <w:rPr>
          <w:i/>
          <w:iCs/>
          <w:lang w:val="en-GB"/>
        </w:rPr>
        <w:t xml:space="preserve"> </w:t>
      </w:r>
      <w:r w:rsidRPr="00C81031">
        <w:rPr>
          <w:i/>
          <w:iCs/>
          <w:lang w:val="en-GB"/>
        </w:rPr>
        <w:tab/>
        <w:t xml:space="preserve">he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 xml:space="preserve">wott-áa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>danday-ées</w:t>
      </w:r>
    </w:p>
    <w:p w14:paraId="58BDBBBF" w14:textId="77777777" w:rsidR="004A4C21" w:rsidRPr="00C81031" w:rsidRDefault="004A4C21" w:rsidP="004A4C21">
      <w:pPr>
        <w:spacing w:after="0" w:line="360" w:lineRule="auto"/>
        <w:jc w:val="both"/>
        <w:rPr>
          <w:lang w:val="en-GB"/>
        </w:rPr>
      </w:pPr>
      <w:r w:rsidRPr="00C81031">
        <w:rPr>
          <w:lang w:val="en-GB"/>
        </w:rPr>
        <w:tab/>
      </w:r>
      <w:r w:rsidRPr="00C81031">
        <w:rPr>
          <w:lang w:val="en-GB"/>
        </w:rPr>
        <w:tab/>
        <w:t>who-</w:t>
      </w:r>
      <w:r w:rsidRPr="00C81031">
        <w:rPr>
          <w:smallCaps/>
          <w:lang w:val="en-GB"/>
        </w:rPr>
        <w:t>add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</w:r>
      <w:r w:rsidRPr="00C81031">
        <w:rPr>
          <w:lang w:val="en-GB"/>
        </w:rPr>
        <w:tab/>
        <w:t xml:space="preserve">that </w:t>
      </w:r>
      <w:r w:rsidRPr="00C81031">
        <w:rPr>
          <w:lang w:val="en-GB"/>
        </w:rPr>
        <w:tab/>
        <w:t>running-</w:t>
      </w:r>
      <w:r w:rsidRPr="00C81031">
        <w:rPr>
          <w:smallCaps/>
          <w:lang w:val="en-GB"/>
        </w:rPr>
        <w:t>abs.m.sg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can-</w:t>
      </w:r>
      <w:r w:rsidRPr="00C81031">
        <w:rPr>
          <w:smallCaps/>
          <w:lang w:val="en-GB"/>
        </w:rPr>
        <w:t>impf.3m.sg</w:t>
      </w:r>
    </w:p>
    <w:p w14:paraId="01D870C6" w14:textId="77777777" w:rsidR="004A4C21" w:rsidRPr="00C81031" w:rsidRDefault="004A4C21" w:rsidP="007049B4">
      <w:pPr>
        <w:spacing w:after="120" w:line="360" w:lineRule="auto"/>
        <w:jc w:val="both"/>
        <w:rPr>
          <w:lang w:val="en-GB"/>
        </w:rPr>
      </w:pPr>
      <w:r w:rsidRPr="00C81031">
        <w:rPr>
          <w:lang w:val="en-GB"/>
        </w:rPr>
        <w:tab/>
      </w:r>
      <w:r w:rsidRPr="00C81031">
        <w:rPr>
          <w:lang w:val="en-GB"/>
        </w:rPr>
        <w:tab/>
        <w:t>‘</w:t>
      </w:r>
      <w:r w:rsidRPr="000D0A94">
        <w:rPr>
          <w:u w:val="single"/>
          <w:lang w:val="en-GB"/>
        </w:rPr>
        <w:t>Anyone</w:t>
      </w:r>
      <w:r w:rsidRPr="00C81031">
        <w:rPr>
          <w:lang w:val="en-GB"/>
        </w:rPr>
        <w:t xml:space="preserve"> can run that.’</w:t>
      </w:r>
    </w:p>
    <w:p w14:paraId="676AFBFF" w14:textId="29AEEBD5" w:rsidR="004A4C21" w:rsidRPr="00C81031" w:rsidRDefault="004A4C21" w:rsidP="004A4C21">
      <w:pPr>
        <w:spacing w:after="0" w:line="360" w:lineRule="auto"/>
        <w:jc w:val="both"/>
        <w:rPr>
          <w:lang w:val="en-GB"/>
        </w:rPr>
      </w:pPr>
      <w:r w:rsidRPr="00C81031">
        <w:rPr>
          <w:lang w:val="en-GB"/>
        </w:rPr>
        <w:t>(</w:t>
      </w:r>
      <w:r w:rsidR="00751AB9">
        <w:rPr>
          <w:lang w:val="en-GB"/>
        </w:rPr>
        <w:t>3</w:t>
      </w:r>
      <w:r w:rsidRPr="00C81031">
        <w:rPr>
          <w:lang w:val="en-GB"/>
        </w:rPr>
        <w:t>)</w:t>
      </w:r>
      <w:r w:rsidRPr="00C81031">
        <w:rPr>
          <w:lang w:val="en-GB"/>
        </w:rPr>
        <w:tab/>
      </w:r>
      <w:r w:rsidRPr="00C81031">
        <w:rPr>
          <w:lang w:val="en-GB"/>
        </w:rPr>
        <w:tab/>
        <w:t>Wolaytta (Wasaka 2008: 897)</w:t>
      </w:r>
    </w:p>
    <w:p w14:paraId="0E525BF4" w14:textId="1CE6202A" w:rsidR="004A4C21" w:rsidRPr="00C81031" w:rsidRDefault="004A4C21" w:rsidP="004A4C21">
      <w:pPr>
        <w:spacing w:after="0" w:line="360" w:lineRule="auto"/>
        <w:jc w:val="both"/>
        <w:rPr>
          <w:i/>
          <w:iCs/>
          <w:lang w:val="en-GB"/>
        </w:rPr>
      </w:pPr>
      <w:r w:rsidRPr="00C81031">
        <w:rPr>
          <w:lang w:val="en-GB"/>
        </w:rPr>
        <w:tab/>
      </w:r>
      <w:r w:rsidRPr="00C81031">
        <w:rPr>
          <w:i/>
          <w:iCs/>
          <w:lang w:val="en-GB"/>
        </w:rPr>
        <w:tab/>
        <w:t xml:space="preserve">táání bír-aa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</w:r>
      <w:r w:rsidR="00125D60">
        <w:rPr>
          <w:iCs/>
          <w:lang w:val="en-GB"/>
        </w:rPr>
        <w:t>[</w:t>
      </w:r>
      <w:r w:rsidRPr="00C94525">
        <w:rPr>
          <w:i/>
          <w:iCs/>
          <w:lang w:val="en-GB"/>
        </w:rPr>
        <w:t>ʔóóní</w:t>
      </w:r>
      <w:r w:rsidRPr="00C81031">
        <w:rPr>
          <w:i/>
          <w:iCs/>
          <w:lang w:val="en-GB"/>
        </w:rPr>
        <w:t xml:space="preserve">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>ʔimm-í-kkó-</w:t>
      </w:r>
      <w:r w:rsidRPr="00C81031">
        <w:rPr>
          <w:b/>
          <w:bCs/>
          <w:i/>
          <w:iCs/>
          <w:lang w:val="en-GB"/>
        </w:rPr>
        <w:t>kká</w:t>
      </w:r>
      <w:r w:rsidR="00125D60">
        <w:rPr>
          <w:bCs/>
          <w:iCs/>
          <w:lang w:val="en-GB"/>
        </w:rPr>
        <w:t>]</w:t>
      </w:r>
      <w:r w:rsidRPr="00C81031">
        <w:rPr>
          <w:i/>
          <w:iCs/>
          <w:lang w:val="en-GB"/>
        </w:rPr>
        <w:t xml:space="preserve"> </w:t>
      </w:r>
      <w:r w:rsidRPr="00C81031">
        <w:rPr>
          <w:i/>
          <w:iCs/>
          <w:lang w:val="en-GB"/>
        </w:rPr>
        <w:tab/>
      </w:r>
      <w:r w:rsidRPr="00C81031">
        <w:rPr>
          <w:i/>
          <w:iCs/>
          <w:lang w:val="en-GB"/>
        </w:rPr>
        <w:tab/>
        <w:t>ʔekk-aná</w:t>
      </w:r>
    </w:p>
    <w:p w14:paraId="089E62DB" w14:textId="46D2B7E8" w:rsidR="004A4C21" w:rsidRPr="00C81031" w:rsidRDefault="004A4C21" w:rsidP="004A4C21">
      <w:pPr>
        <w:spacing w:after="0" w:line="360" w:lineRule="auto"/>
        <w:jc w:val="both"/>
        <w:rPr>
          <w:lang w:val="en-GB"/>
        </w:rPr>
      </w:pPr>
      <w:r w:rsidRPr="00C81031">
        <w:rPr>
          <w:lang w:val="en-GB"/>
        </w:rPr>
        <w:tab/>
      </w:r>
      <w:r w:rsidRPr="00C81031">
        <w:rPr>
          <w:lang w:val="en-GB"/>
        </w:rPr>
        <w:tab/>
        <w:t xml:space="preserve">I </w:t>
      </w:r>
      <w:r w:rsidRPr="00C81031">
        <w:rPr>
          <w:lang w:val="en-GB"/>
        </w:rPr>
        <w:tab/>
      </w:r>
      <w:r w:rsidRPr="00C81031">
        <w:rPr>
          <w:lang w:val="en-GB"/>
        </w:rPr>
        <w:tab/>
        <w:t>Bir-</w:t>
      </w:r>
      <w:r w:rsidRPr="00C81031">
        <w:rPr>
          <w:smallCaps/>
          <w:lang w:val="en-GB"/>
        </w:rPr>
        <w:t>abs.m.sg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</w:r>
      <w:r w:rsidRPr="00C81031">
        <w:rPr>
          <w:lang w:val="en-GB"/>
        </w:rPr>
        <w:tab/>
      </w:r>
      <w:r w:rsidR="00125D60">
        <w:rPr>
          <w:lang w:val="en-GB"/>
        </w:rPr>
        <w:t>[</w:t>
      </w:r>
      <w:r w:rsidRPr="00C81031">
        <w:rPr>
          <w:lang w:val="en-GB"/>
        </w:rPr>
        <w:t xml:space="preserve">who </w:t>
      </w:r>
      <w:r w:rsidRPr="00C81031">
        <w:rPr>
          <w:lang w:val="en-GB"/>
        </w:rPr>
        <w:tab/>
      </w:r>
      <w:r w:rsidRPr="00C81031">
        <w:rPr>
          <w:lang w:val="en-GB"/>
        </w:rPr>
        <w:tab/>
        <w:t>give-</w:t>
      </w:r>
      <w:r w:rsidRPr="00C81031">
        <w:rPr>
          <w:smallCaps/>
          <w:lang w:val="en-GB"/>
        </w:rPr>
        <w:t>subord-cond-add</w:t>
      </w:r>
      <w:r w:rsidR="00125D60">
        <w:rPr>
          <w:smallCaps/>
          <w:lang w:val="en-GB"/>
        </w:rPr>
        <w:t>]</w:t>
      </w:r>
      <w:r w:rsidRPr="00C81031">
        <w:rPr>
          <w:lang w:val="en-GB"/>
        </w:rPr>
        <w:t xml:space="preserve"> </w:t>
      </w:r>
      <w:r w:rsidRPr="00C81031">
        <w:rPr>
          <w:lang w:val="en-GB"/>
        </w:rPr>
        <w:tab/>
        <w:t>take-</w:t>
      </w:r>
      <w:r w:rsidRPr="00C81031">
        <w:rPr>
          <w:smallCaps/>
          <w:lang w:val="en-GB"/>
        </w:rPr>
        <w:t>fut</w:t>
      </w:r>
    </w:p>
    <w:p w14:paraId="3F431C6A" w14:textId="77777777" w:rsidR="004A4C21" w:rsidRDefault="004A4C21" w:rsidP="004A4C21">
      <w:pPr>
        <w:spacing w:after="120" w:line="360" w:lineRule="auto"/>
        <w:jc w:val="both"/>
        <w:rPr>
          <w:lang w:val="en-GB"/>
        </w:rPr>
      </w:pPr>
      <w:r w:rsidRPr="00C81031">
        <w:rPr>
          <w:lang w:val="en-GB"/>
        </w:rPr>
        <w:tab/>
      </w:r>
      <w:r w:rsidRPr="00C81031">
        <w:rPr>
          <w:lang w:val="en-GB"/>
        </w:rPr>
        <w:tab/>
        <w:t xml:space="preserve">‘I will receive Bir [i.e. Ethiopian currency], </w:t>
      </w:r>
      <w:r w:rsidRPr="000D0A94">
        <w:rPr>
          <w:u w:val="single"/>
          <w:lang w:val="en-GB"/>
        </w:rPr>
        <w:t>whoever</w:t>
      </w:r>
      <w:r w:rsidRPr="00C81031">
        <w:rPr>
          <w:lang w:val="en-GB"/>
        </w:rPr>
        <w:t xml:space="preserve"> gives (it to me).’</w:t>
      </w:r>
    </w:p>
    <w:sectPr w:rsidR="004A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459A"/>
    <w:multiLevelType w:val="hybridMultilevel"/>
    <w:tmpl w:val="BF36EE2E"/>
    <w:lvl w:ilvl="0" w:tplc="C2500B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412"/>
    <w:multiLevelType w:val="hybridMultilevel"/>
    <w:tmpl w:val="34A6378E"/>
    <w:lvl w:ilvl="0" w:tplc="C1D0DF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1C2A"/>
    <w:multiLevelType w:val="hybridMultilevel"/>
    <w:tmpl w:val="23B41582"/>
    <w:lvl w:ilvl="0" w:tplc="9C5E5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95284"/>
    <w:multiLevelType w:val="hybridMultilevel"/>
    <w:tmpl w:val="4C0AA5C8"/>
    <w:lvl w:ilvl="0" w:tplc="AF8AC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7448">
    <w:abstractNumId w:val="3"/>
  </w:num>
  <w:num w:numId="2" w16cid:durableId="1203060492">
    <w:abstractNumId w:val="0"/>
  </w:num>
  <w:num w:numId="3" w16cid:durableId="956989156">
    <w:abstractNumId w:val="2"/>
  </w:num>
  <w:num w:numId="4" w16cid:durableId="99125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29"/>
    <w:rsid w:val="00001F8B"/>
    <w:rsid w:val="00013D91"/>
    <w:rsid w:val="0003588C"/>
    <w:rsid w:val="00046D1E"/>
    <w:rsid w:val="0005025F"/>
    <w:rsid w:val="00073219"/>
    <w:rsid w:val="00082305"/>
    <w:rsid w:val="000936EE"/>
    <w:rsid w:val="000D0A94"/>
    <w:rsid w:val="000F467D"/>
    <w:rsid w:val="00125D60"/>
    <w:rsid w:val="0019704F"/>
    <w:rsid w:val="001C1F5B"/>
    <w:rsid w:val="001C7EE4"/>
    <w:rsid w:val="00225397"/>
    <w:rsid w:val="0023591F"/>
    <w:rsid w:val="00246327"/>
    <w:rsid w:val="00256092"/>
    <w:rsid w:val="0028236D"/>
    <w:rsid w:val="002B56C9"/>
    <w:rsid w:val="002B59EC"/>
    <w:rsid w:val="002E36DC"/>
    <w:rsid w:val="003169ED"/>
    <w:rsid w:val="003E5A15"/>
    <w:rsid w:val="004355BF"/>
    <w:rsid w:val="00440CEE"/>
    <w:rsid w:val="00495F3B"/>
    <w:rsid w:val="004A4C21"/>
    <w:rsid w:val="004B65C4"/>
    <w:rsid w:val="004C2051"/>
    <w:rsid w:val="005014D7"/>
    <w:rsid w:val="005715E1"/>
    <w:rsid w:val="005B69D6"/>
    <w:rsid w:val="005C4897"/>
    <w:rsid w:val="005F0DDF"/>
    <w:rsid w:val="005F45BF"/>
    <w:rsid w:val="006328E0"/>
    <w:rsid w:val="00647BFB"/>
    <w:rsid w:val="006523A6"/>
    <w:rsid w:val="00661CF9"/>
    <w:rsid w:val="006739FD"/>
    <w:rsid w:val="00680180"/>
    <w:rsid w:val="006A017A"/>
    <w:rsid w:val="006C3F5B"/>
    <w:rsid w:val="00703A88"/>
    <w:rsid w:val="007049B4"/>
    <w:rsid w:val="0072345B"/>
    <w:rsid w:val="007249C2"/>
    <w:rsid w:val="00732160"/>
    <w:rsid w:val="007505BE"/>
    <w:rsid w:val="007505C6"/>
    <w:rsid w:val="00751AB9"/>
    <w:rsid w:val="007A6EB2"/>
    <w:rsid w:val="007C5D29"/>
    <w:rsid w:val="007E4462"/>
    <w:rsid w:val="00864985"/>
    <w:rsid w:val="008727A0"/>
    <w:rsid w:val="008A77E5"/>
    <w:rsid w:val="008C37D8"/>
    <w:rsid w:val="008D5194"/>
    <w:rsid w:val="008F75A2"/>
    <w:rsid w:val="00902A07"/>
    <w:rsid w:val="0094101C"/>
    <w:rsid w:val="00943FD9"/>
    <w:rsid w:val="00973C26"/>
    <w:rsid w:val="009814C9"/>
    <w:rsid w:val="00995B93"/>
    <w:rsid w:val="009A6CC3"/>
    <w:rsid w:val="009D40EB"/>
    <w:rsid w:val="009D615D"/>
    <w:rsid w:val="009F7F8B"/>
    <w:rsid w:val="00A264D1"/>
    <w:rsid w:val="00A44931"/>
    <w:rsid w:val="00A57245"/>
    <w:rsid w:val="00A57833"/>
    <w:rsid w:val="00A918D3"/>
    <w:rsid w:val="00A94855"/>
    <w:rsid w:val="00AC75FF"/>
    <w:rsid w:val="00AD4DEF"/>
    <w:rsid w:val="00AD629F"/>
    <w:rsid w:val="00AF1544"/>
    <w:rsid w:val="00B41362"/>
    <w:rsid w:val="00BB5C07"/>
    <w:rsid w:val="00BE5A02"/>
    <w:rsid w:val="00BF3FA2"/>
    <w:rsid w:val="00C81031"/>
    <w:rsid w:val="00C94525"/>
    <w:rsid w:val="00CC415E"/>
    <w:rsid w:val="00CE5F05"/>
    <w:rsid w:val="00D055E2"/>
    <w:rsid w:val="00D45F43"/>
    <w:rsid w:val="00D64182"/>
    <w:rsid w:val="00D90C54"/>
    <w:rsid w:val="00DC1E4E"/>
    <w:rsid w:val="00DC6701"/>
    <w:rsid w:val="00DE3F87"/>
    <w:rsid w:val="00E62898"/>
    <w:rsid w:val="00E64342"/>
    <w:rsid w:val="00ED4792"/>
    <w:rsid w:val="00F35981"/>
    <w:rsid w:val="00FA76C1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1072"/>
  <w15:chartTrackingRefBased/>
  <w15:docId w15:val="{9D2FEC22-9FBE-446F-91C6-0B102795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 Bossuyt</cp:lastModifiedBy>
  <cp:revision>83</cp:revision>
  <dcterms:created xsi:type="dcterms:W3CDTF">2024-01-20T20:57:00Z</dcterms:created>
  <dcterms:modified xsi:type="dcterms:W3CDTF">2024-04-05T17:23:00Z</dcterms:modified>
</cp:coreProperties>
</file>