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E34D" w14:textId="77777777" w:rsidR="002F68B8" w:rsidRDefault="00966AA4" w:rsidP="00966AA4">
      <w:pPr>
        <w:jc w:val="center"/>
        <w:rPr>
          <w:b/>
          <w:sz w:val="22"/>
          <w:szCs w:val="22"/>
          <w:highlight w:val="white"/>
        </w:rPr>
      </w:pPr>
      <w:proofErr w:type="spellStart"/>
      <w:r>
        <w:rPr>
          <w:b/>
          <w:sz w:val="22"/>
          <w:szCs w:val="22"/>
          <w:highlight w:val="white"/>
        </w:rPr>
        <w:t>Spatio</w:t>
      </w:r>
      <w:proofErr w:type="spellEnd"/>
      <w:r>
        <w:rPr>
          <w:b/>
          <w:sz w:val="22"/>
          <w:szCs w:val="22"/>
          <w:highlight w:val="white"/>
        </w:rPr>
        <w:t xml:space="preserve">-social separation and linguistic complexity in </w:t>
      </w:r>
      <w:proofErr w:type="spellStart"/>
      <w:r>
        <w:rPr>
          <w:b/>
          <w:sz w:val="22"/>
          <w:szCs w:val="22"/>
          <w:highlight w:val="white"/>
        </w:rPr>
        <w:t>Daghestan</w:t>
      </w:r>
      <w:proofErr w:type="spellEnd"/>
    </w:p>
    <w:p w14:paraId="2DF8F424" w14:textId="6FCE8623" w:rsidR="002F68B8" w:rsidRDefault="002F68B8">
      <w:pPr>
        <w:jc w:val="both"/>
        <w:rPr>
          <w:sz w:val="22"/>
          <w:szCs w:val="22"/>
          <w:highlight w:val="white"/>
        </w:rPr>
      </w:pPr>
    </w:p>
    <w:p w14:paraId="60FCF0F6" w14:textId="2085DFF1" w:rsidR="003A135F" w:rsidRDefault="003A135F" w:rsidP="003A135F">
      <w:pPr>
        <w:jc w:val="center"/>
        <w:rPr>
          <w:sz w:val="22"/>
          <w:szCs w:val="22"/>
          <w:highlight w:val="white"/>
        </w:rPr>
      </w:pPr>
      <w:r>
        <w:rPr>
          <w:sz w:val="22"/>
          <w:szCs w:val="22"/>
          <w:highlight w:val="white"/>
        </w:rPr>
        <w:t xml:space="preserve">Anastasia </w:t>
      </w:r>
      <w:proofErr w:type="spellStart"/>
      <w:r>
        <w:rPr>
          <w:sz w:val="22"/>
          <w:szCs w:val="22"/>
          <w:highlight w:val="white"/>
        </w:rPr>
        <w:t>Panova</w:t>
      </w:r>
      <w:proofErr w:type="spellEnd"/>
      <w:r>
        <w:rPr>
          <w:sz w:val="22"/>
          <w:szCs w:val="22"/>
          <w:highlight w:val="white"/>
        </w:rPr>
        <w:t xml:space="preserve"> &amp; Michael Daniel</w:t>
      </w:r>
    </w:p>
    <w:p w14:paraId="4AECEACE" w14:textId="0C298690" w:rsidR="003A135F" w:rsidRPr="003A135F" w:rsidRDefault="003A135F" w:rsidP="003A135F">
      <w:pPr>
        <w:jc w:val="center"/>
        <w:rPr>
          <w:sz w:val="22"/>
          <w:szCs w:val="22"/>
        </w:rPr>
      </w:pPr>
      <w:r>
        <w:rPr>
          <w:sz w:val="22"/>
          <w:szCs w:val="22"/>
          <w:highlight w:val="white"/>
        </w:rPr>
        <w:t>(</w:t>
      </w:r>
      <w:r w:rsidRPr="003A135F">
        <w:rPr>
          <w:sz w:val="22"/>
          <w:szCs w:val="22"/>
        </w:rPr>
        <w:t>HSE</w:t>
      </w:r>
      <w:r>
        <w:rPr>
          <w:sz w:val="22"/>
          <w:szCs w:val="22"/>
        </w:rPr>
        <w:t xml:space="preserve"> University; </w:t>
      </w:r>
      <w:r w:rsidRPr="003A135F">
        <w:rPr>
          <w:sz w:val="22"/>
          <w:szCs w:val="22"/>
        </w:rPr>
        <w:t>HSE</w:t>
      </w:r>
      <w:r>
        <w:rPr>
          <w:sz w:val="22"/>
          <w:szCs w:val="22"/>
        </w:rPr>
        <w:t xml:space="preserve"> University</w:t>
      </w:r>
      <w:r>
        <w:rPr>
          <w:sz w:val="22"/>
          <w:szCs w:val="22"/>
        </w:rPr>
        <w:t xml:space="preserve"> and </w:t>
      </w:r>
      <w:r w:rsidRPr="003A135F">
        <w:rPr>
          <w:sz w:val="22"/>
          <w:szCs w:val="22"/>
        </w:rPr>
        <w:t>University of Hamburg</w:t>
      </w:r>
      <w:r>
        <w:rPr>
          <w:sz w:val="22"/>
          <w:szCs w:val="22"/>
          <w:highlight w:val="white"/>
        </w:rPr>
        <w:t>)</w:t>
      </w:r>
    </w:p>
    <w:p w14:paraId="5486465A" w14:textId="301C0BBE" w:rsidR="003A135F" w:rsidRDefault="003A135F">
      <w:pPr>
        <w:jc w:val="both"/>
        <w:rPr>
          <w:sz w:val="22"/>
          <w:szCs w:val="22"/>
          <w:highlight w:val="white"/>
        </w:rPr>
      </w:pPr>
    </w:p>
    <w:p w14:paraId="3EFB522A" w14:textId="253EE677" w:rsidR="003A135F" w:rsidRPr="003A135F" w:rsidRDefault="003A135F" w:rsidP="00226772">
      <w:pPr>
        <w:jc w:val="both"/>
        <w:rPr>
          <w:sz w:val="22"/>
          <w:szCs w:val="22"/>
        </w:rPr>
      </w:pPr>
      <w:r>
        <w:rPr>
          <w:sz w:val="22"/>
          <w:szCs w:val="22"/>
          <w:highlight w:val="white"/>
        </w:rPr>
        <w:t xml:space="preserve">Keywords: </w:t>
      </w:r>
      <w:r w:rsidRPr="003A135F">
        <w:rPr>
          <w:sz w:val="22"/>
          <w:szCs w:val="22"/>
        </w:rPr>
        <w:t>linguistic complexity</w:t>
      </w:r>
      <w:r>
        <w:rPr>
          <w:sz w:val="22"/>
          <w:szCs w:val="22"/>
        </w:rPr>
        <w:t xml:space="preserve">, </w:t>
      </w:r>
      <w:r w:rsidRPr="003A135F">
        <w:rPr>
          <w:sz w:val="22"/>
          <w:szCs w:val="22"/>
        </w:rPr>
        <w:t>linguistic geography</w:t>
      </w:r>
      <w:r>
        <w:rPr>
          <w:sz w:val="22"/>
          <w:szCs w:val="22"/>
        </w:rPr>
        <w:t xml:space="preserve">, </w:t>
      </w:r>
      <w:r w:rsidR="00226772" w:rsidRPr="00226772">
        <w:rPr>
          <w:sz w:val="22"/>
          <w:szCs w:val="22"/>
        </w:rPr>
        <w:t>East</w:t>
      </w:r>
      <w:r w:rsidR="00226772">
        <w:rPr>
          <w:sz w:val="22"/>
          <w:szCs w:val="22"/>
        </w:rPr>
        <w:t xml:space="preserve"> </w:t>
      </w:r>
      <w:r w:rsidR="00226772" w:rsidRPr="00226772">
        <w:rPr>
          <w:sz w:val="22"/>
          <w:szCs w:val="22"/>
        </w:rPr>
        <w:t>Caucasian languages</w:t>
      </w:r>
      <w:r>
        <w:rPr>
          <w:sz w:val="22"/>
          <w:szCs w:val="22"/>
        </w:rPr>
        <w:t xml:space="preserve">, </w:t>
      </w:r>
      <w:proofErr w:type="spellStart"/>
      <w:r w:rsidRPr="003A135F">
        <w:rPr>
          <w:sz w:val="22"/>
          <w:szCs w:val="22"/>
        </w:rPr>
        <w:t>Daghestan</w:t>
      </w:r>
      <w:proofErr w:type="spellEnd"/>
      <w:r>
        <w:rPr>
          <w:sz w:val="22"/>
          <w:szCs w:val="22"/>
        </w:rPr>
        <w:t>.</w:t>
      </w:r>
    </w:p>
    <w:p w14:paraId="7294A3F4" w14:textId="77777777" w:rsidR="003A135F" w:rsidRDefault="003A135F">
      <w:pPr>
        <w:jc w:val="both"/>
        <w:rPr>
          <w:sz w:val="22"/>
          <w:szCs w:val="22"/>
          <w:highlight w:val="white"/>
        </w:rPr>
      </w:pPr>
    </w:p>
    <w:p w14:paraId="42BAC399" w14:textId="77777777" w:rsidR="002F68B8" w:rsidRDefault="00966AA4">
      <w:pPr>
        <w:jc w:val="both"/>
        <w:rPr>
          <w:sz w:val="22"/>
          <w:szCs w:val="22"/>
          <w:highlight w:val="white"/>
        </w:rPr>
      </w:pPr>
      <w:r>
        <w:rPr>
          <w:sz w:val="22"/>
          <w:szCs w:val="22"/>
          <w:highlight w:val="white"/>
        </w:rPr>
        <w:t>It has been suggested that linguistic separation of speech communities may influence the complexity of their languages (Trudgill 2011, Nichols 2020). However, investigating the supposed correlation is hindered by methodological issues. Previous studies (</w:t>
      </w:r>
      <w:proofErr w:type="spellStart"/>
      <w:r>
        <w:rPr>
          <w:sz w:val="22"/>
          <w:szCs w:val="22"/>
          <w:highlight w:val="white"/>
        </w:rPr>
        <w:t>Baechler</w:t>
      </w:r>
      <w:proofErr w:type="spellEnd"/>
      <w:r>
        <w:rPr>
          <w:sz w:val="22"/>
          <w:szCs w:val="22"/>
          <w:highlight w:val="white"/>
        </w:rPr>
        <w:t xml:space="preserve"> 2017) present metrics dependent both on the type of landscape data available and the quality of the linguistic description. The degree of complexity is also influenced by inheritance. One way to overcome the issues is, respectively, (</w:t>
      </w:r>
      <w:proofErr w:type="spellStart"/>
      <w:r>
        <w:rPr>
          <w:sz w:val="22"/>
          <w:szCs w:val="22"/>
          <w:highlight w:val="white"/>
        </w:rPr>
        <w:t>i</w:t>
      </w:r>
      <w:proofErr w:type="spellEnd"/>
      <w:r>
        <w:rPr>
          <w:sz w:val="22"/>
          <w:szCs w:val="22"/>
          <w:highlight w:val="white"/>
        </w:rPr>
        <w:t xml:space="preserve">) using absolute values as a proxy for the degree of isolation, (ii) using metrics based on corpora or dictionaries rather than on grammatical descriptions, and (iii) comparing genealogically related languages. In this study, several statistical experiments are carried out to probe for a correlation between the degree of separation of the languages of the East Caucasian family and their relative morphological and phonological complexity. </w:t>
      </w:r>
    </w:p>
    <w:p w14:paraId="11EE991B" w14:textId="77777777" w:rsidR="002F68B8" w:rsidRDefault="00966AA4">
      <w:pPr>
        <w:ind w:firstLine="720"/>
        <w:jc w:val="both"/>
        <w:rPr>
          <w:sz w:val="22"/>
          <w:szCs w:val="22"/>
          <w:highlight w:val="white"/>
        </w:rPr>
      </w:pPr>
      <w:r>
        <w:rPr>
          <w:sz w:val="22"/>
          <w:szCs w:val="22"/>
          <w:highlight w:val="white"/>
        </w:rPr>
        <w:t xml:space="preserve">As a proxy for spatial separation, we used (the medians of) the altitudes of the villages where each of the languages is </w:t>
      </w:r>
      <w:proofErr w:type="gramStart"/>
      <w:r>
        <w:rPr>
          <w:sz w:val="22"/>
          <w:szCs w:val="22"/>
          <w:highlight w:val="white"/>
        </w:rPr>
        <w:t>spoken:</w:t>
      </w:r>
      <w:proofErr w:type="gramEnd"/>
      <w:r>
        <w:rPr>
          <w:sz w:val="22"/>
          <w:szCs w:val="22"/>
          <w:highlight w:val="white"/>
        </w:rPr>
        <w:t xml:space="preserve"> assumedly, the higher in the mountains, the more separated the language. To estimate morphological complexity, we analyzed distributions of the </w:t>
      </w:r>
      <w:r>
        <w:rPr>
          <w:i/>
          <w:sz w:val="22"/>
          <w:szCs w:val="22"/>
          <w:highlight w:val="white"/>
        </w:rPr>
        <w:t>type-token ratio</w:t>
      </w:r>
      <w:r>
        <w:rPr>
          <w:sz w:val="22"/>
          <w:szCs w:val="22"/>
          <w:highlight w:val="white"/>
        </w:rPr>
        <w:t xml:space="preserve"> (</w:t>
      </w:r>
      <w:proofErr w:type="spellStart"/>
      <w:r>
        <w:rPr>
          <w:sz w:val="22"/>
          <w:szCs w:val="22"/>
        </w:rPr>
        <w:t>Kettunen</w:t>
      </w:r>
      <w:proofErr w:type="spellEnd"/>
      <w:r>
        <w:rPr>
          <w:sz w:val="22"/>
          <w:szCs w:val="22"/>
        </w:rPr>
        <w:t xml:space="preserve"> 2014</w:t>
      </w:r>
      <w:r>
        <w:rPr>
          <w:sz w:val="22"/>
          <w:szCs w:val="22"/>
          <w:highlight w:val="white"/>
        </w:rPr>
        <w:t>) in random samples from non-annotated narrative corpora and translation of the Gospel of Luke. No correlation between morphological complexity and altitude has been found (Figure 1, Figure 2).</w:t>
      </w:r>
    </w:p>
    <w:p w14:paraId="09745018" w14:textId="498643EF" w:rsidR="002F68B8" w:rsidRDefault="00966AA4">
      <w:pPr>
        <w:ind w:firstLine="720"/>
        <w:jc w:val="both"/>
        <w:rPr>
          <w:sz w:val="22"/>
          <w:szCs w:val="22"/>
          <w:highlight w:val="white"/>
        </w:rPr>
      </w:pPr>
      <w:r>
        <w:rPr>
          <w:sz w:val="22"/>
          <w:szCs w:val="22"/>
          <w:highlight w:val="white"/>
        </w:rPr>
        <w:t xml:space="preserve">We then applied the same methodology to measuring phonological complexity. The </w:t>
      </w:r>
      <w:r>
        <w:rPr>
          <w:i/>
          <w:sz w:val="22"/>
          <w:szCs w:val="22"/>
          <w:highlight w:val="white"/>
        </w:rPr>
        <w:t>type-phoneme ratio</w:t>
      </w:r>
      <w:r>
        <w:rPr>
          <w:sz w:val="22"/>
          <w:szCs w:val="22"/>
          <w:highlight w:val="white"/>
        </w:rPr>
        <w:t xml:space="preserve"> was obtained from the comparative dictionary (</w:t>
      </w:r>
      <w:proofErr w:type="spellStart"/>
      <w:r>
        <w:rPr>
          <w:sz w:val="22"/>
          <w:szCs w:val="22"/>
          <w:highlight w:val="white"/>
        </w:rPr>
        <w:t>Kibrik</w:t>
      </w:r>
      <w:proofErr w:type="spellEnd"/>
      <w:r>
        <w:rPr>
          <w:sz w:val="22"/>
          <w:szCs w:val="22"/>
          <w:highlight w:val="white"/>
        </w:rPr>
        <w:t xml:space="preserve">, </w:t>
      </w:r>
      <w:proofErr w:type="spellStart"/>
      <w:r>
        <w:rPr>
          <w:sz w:val="22"/>
          <w:szCs w:val="22"/>
          <w:highlight w:val="white"/>
        </w:rPr>
        <w:t>Kodzasov</w:t>
      </w:r>
      <w:proofErr w:type="spellEnd"/>
      <w:r>
        <w:rPr>
          <w:sz w:val="22"/>
          <w:szCs w:val="22"/>
          <w:highlight w:val="white"/>
        </w:rPr>
        <w:t xml:space="preserve"> 1990). As Figure 3 with languages ordered by the median shows, the genealogical factor may be significant: </w:t>
      </w:r>
      <w:proofErr w:type="spellStart"/>
      <w:r>
        <w:rPr>
          <w:sz w:val="22"/>
          <w:szCs w:val="22"/>
          <w:highlight w:val="white"/>
        </w:rPr>
        <w:t>Lezgic</w:t>
      </w:r>
      <w:proofErr w:type="spellEnd"/>
      <w:r>
        <w:rPr>
          <w:sz w:val="22"/>
          <w:szCs w:val="22"/>
          <w:highlight w:val="white"/>
        </w:rPr>
        <w:t xml:space="preserve"> gravitate towards the right (though with a strong branch-internal variation), </w:t>
      </w:r>
      <w:proofErr w:type="spellStart"/>
      <w:r>
        <w:rPr>
          <w:sz w:val="22"/>
          <w:szCs w:val="22"/>
          <w:highlight w:val="white"/>
        </w:rPr>
        <w:t>Tsezic</w:t>
      </w:r>
      <w:proofErr w:type="spellEnd"/>
      <w:r>
        <w:rPr>
          <w:sz w:val="22"/>
          <w:szCs w:val="22"/>
          <w:highlight w:val="white"/>
        </w:rPr>
        <w:t xml:space="preserve"> towards the left, and Andic are intermediate (as confirmed by pairwise Mann-Whitney tests applied to medians). In other words, </w:t>
      </w:r>
      <w:proofErr w:type="spellStart"/>
      <w:r>
        <w:rPr>
          <w:sz w:val="22"/>
          <w:szCs w:val="22"/>
          <w:highlight w:val="white"/>
        </w:rPr>
        <w:t>Lezgic</w:t>
      </w:r>
      <w:proofErr w:type="spellEnd"/>
      <w:r>
        <w:rPr>
          <w:sz w:val="22"/>
          <w:szCs w:val="22"/>
          <w:highlight w:val="white"/>
        </w:rPr>
        <w:t xml:space="preserve"> may be more complex and </w:t>
      </w:r>
      <w:proofErr w:type="spellStart"/>
      <w:r>
        <w:rPr>
          <w:sz w:val="22"/>
          <w:szCs w:val="22"/>
          <w:highlight w:val="white"/>
        </w:rPr>
        <w:t>Tsezic</w:t>
      </w:r>
      <w:proofErr w:type="spellEnd"/>
      <w:r>
        <w:rPr>
          <w:sz w:val="22"/>
          <w:szCs w:val="22"/>
          <w:highlight w:val="white"/>
        </w:rPr>
        <w:t xml:space="preserve"> less complex not because of their relative attitude but due to the difference in inherited complexity. </w:t>
      </w:r>
    </w:p>
    <w:p w14:paraId="4E314D6F" w14:textId="77777777" w:rsidR="002F68B8" w:rsidRDefault="00966AA4">
      <w:pPr>
        <w:ind w:firstLine="720"/>
        <w:jc w:val="both"/>
        <w:rPr>
          <w:sz w:val="22"/>
          <w:szCs w:val="22"/>
          <w:highlight w:val="white"/>
        </w:rPr>
      </w:pPr>
      <w:r>
        <w:rPr>
          <w:sz w:val="22"/>
          <w:szCs w:val="22"/>
          <w:highlight w:val="white"/>
        </w:rPr>
        <w:t xml:space="preserve">To avoid this problem, we checked correlations between phonological complexity and altitude for the languages within </w:t>
      </w:r>
      <w:proofErr w:type="spellStart"/>
      <w:r>
        <w:rPr>
          <w:sz w:val="22"/>
          <w:szCs w:val="22"/>
          <w:highlight w:val="white"/>
        </w:rPr>
        <w:t>Lezgic</w:t>
      </w:r>
      <w:proofErr w:type="spellEnd"/>
      <w:r>
        <w:rPr>
          <w:sz w:val="22"/>
          <w:szCs w:val="22"/>
          <w:highlight w:val="white"/>
        </w:rPr>
        <w:t xml:space="preserve">, Andic and </w:t>
      </w:r>
      <w:proofErr w:type="spellStart"/>
      <w:r>
        <w:rPr>
          <w:sz w:val="22"/>
          <w:szCs w:val="22"/>
          <w:highlight w:val="white"/>
        </w:rPr>
        <w:t>Tsezic</w:t>
      </w:r>
      <w:proofErr w:type="spellEnd"/>
      <w:r>
        <w:rPr>
          <w:sz w:val="22"/>
          <w:szCs w:val="22"/>
          <w:highlight w:val="white"/>
        </w:rPr>
        <w:t xml:space="preserve"> branches. As can be seen from Figures 4-6, the results of the experiment are different for all three branches. </w:t>
      </w:r>
      <w:proofErr w:type="spellStart"/>
      <w:r>
        <w:rPr>
          <w:sz w:val="22"/>
          <w:szCs w:val="22"/>
          <w:highlight w:val="white"/>
        </w:rPr>
        <w:t>Lezgic</w:t>
      </w:r>
      <w:proofErr w:type="spellEnd"/>
      <w:r>
        <w:rPr>
          <w:sz w:val="22"/>
          <w:szCs w:val="22"/>
          <w:highlight w:val="white"/>
        </w:rPr>
        <w:t xml:space="preserve"> languages seem to conform to the theoretical expectations; after excluding </w:t>
      </w:r>
      <w:proofErr w:type="spellStart"/>
      <w:r>
        <w:rPr>
          <w:sz w:val="22"/>
          <w:szCs w:val="22"/>
          <w:highlight w:val="white"/>
        </w:rPr>
        <w:t>Budugh</w:t>
      </w:r>
      <w:proofErr w:type="spellEnd"/>
      <w:r>
        <w:rPr>
          <w:sz w:val="22"/>
          <w:szCs w:val="22"/>
          <w:highlight w:val="white"/>
        </w:rPr>
        <w:t xml:space="preserve"> and </w:t>
      </w:r>
      <w:proofErr w:type="spellStart"/>
      <w:r>
        <w:rPr>
          <w:sz w:val="22"/>
          <w:szCs w:val="22"/>
          <w:highlight w:val="white"/>
        </w:rPr>
        <w:t>Kryz</w:t>
      </w:r>
      <w:proofErr w:type="spellEnd"/>
      <w:r>
        <w:rPr>
          <w:sz w:val="22"/>
          <w:szCs w:val="22"/>
          <w:highlight w:val="white"/>
        </w:rPr>
        <w:t xml:space="preserve">, which are heavily influenced by Azerbaijani, the correlation between altitude and complexity becomes significant (p-value 0.006). However, Andic languages show no correlation between the variables, while for the </w:t>
      </w:r>
      <w:proofErr w:type="spellStart"/>
      <w:r>
        <w:rPr>
          <w:sz w:val="22"/>
          <w:szCs w:val="22"/>
          <w:highlight w:val="white"/>
        </w:rPr>
        <w:t>Tsezic</w:t>
      </w:r>
      <w:proofErr w:type="spellEnd"/>
      <w:r>
        <w:rPr>
          <w:sz w:val="22"/>
          <w:szCs w:val="22"/>
          <w:highlight w:val="white"/>
        </w:rPr>
        <w:t xml:space="preserve"> languages, one even sees a negative trend (though no significant correlation has been found).</w:t>
      </w:r>
    </w:p>
    <w:p w14:paraId="54747550" w14:textId="77777777" w:rsidR="002F68B8" w:rsidRDefault="00966AA4">
      <w:pPr>
        <w:ind w:firstLine="720"/>
        <w:jc w:val="both"/>
        <w:rPr>
          <w:sz w:val="22"/>
          <w:szCs w:val="22"/>
          <w:highlight w:val="white"/>
        </w:rPr>
      </w:pPr>
      <w:r>
        <w:rPr>
          <w:sz w:val="22"/>
          <w:szCs w:val="22"/>
          <w:highlight w:val="white"/>
        </w:rPr>
        <w:t>We conclude that the hypothesis on the relation between complexity of the language and the degree of separation of its speakers, suggested in numerous case studies and in cross-linguistic comparison, is not supported on the local level, at least if one uses altitude as a proxy for separation and relies on corpus or lexicon frequency metrics instead of structural complexity (as in Nichols 2020). If such correlation exists, it may be weaker than the signal from inherited complexity.</w:t>
      </w:r>
    </w:p>
    <w:p w14:paraId="12C55DAD" w14:textId="77777777" w:rsidR="002F68B8" w:rsidRDefault="002F68B8">
      <w:pPr>
        <w:jc w:val="both"/>
        <w:rPr>
          <w:sz w:val="22"/>
          <w:szCs w:val="22"/>
          <w:highlight w:val="white"/>
        </w:rPr>
      </w:pPr>
    </w:p>
    <w:p w14:paraId="38A760A2" w14:textId="5DF88126" w:rsidR="002F68B8" w:rsidRPr="00046D7C" w:rsidRDefault="00046D7C">
      <w:pPr>
        <w:jc w:val="both"/>
        <w:rPr>
          <w:b/>
          <w:bCs/>
          <w:sz w:val="22"/>
          <w:szCs w:val="22"/>
          <w:highlight w:val="white"/>
        </w:rPr>
      </w:pPr>
      <w:r w:rsidRPr="00046D7C">
        <w:rPr>
          <w:b/>
          <w:bCs/>
          <w:sz w:val="22"/>
          <w:szCs w:val="22"/>
          <w:highlight w:val="white"/>
        </w:rPr>
        <w:t>References</w:t>
      </w:r>
    </w:p>
    <w:p w14:paraId="0832F5D4" w14:textId="77777777" w:rsidR="002F68B8" w:rsidRDefault="00966AA4" w:rsidP="00966AA4">
      <w:pPr>
        <w:widowControl w:val="0"/>
        <w:spacing w:line="276" w:lineRule="auto"/>
        <w:ind w:left="540" w:hanging="540"/>
        <w:rPr>
          <w:sz w:val="22"/>
          <w:szCs w:val="22"/>
        </w:rPr>
      </w:pPr>
      <w:proofErr w:type="spellStart"/>
      <w:r>
        <w:rPr>
          <w:sz w:val="22"/>
          <w:szCs w:val="22"/>
        </w:rPr>
        <w:t>Baechler</w:t>
      </w:r>
      <w:proofErr w:type="spellEnd"/>
      <w:r>
        <w:rPr>
          <w:sz w:val="22"/>
          <w:szCs w:val="22"/>
        </w:rPr>
        <w:t xml:space="preserve">, R. (2017). Complexity, Isolation, and Language Change. </w:t>
      </w:r>
      <w:proofErr w:type="spellStart"/>
      <w:r>
        <w:rPr>
          <w:sz w:val="22"/>
          <w:szCs w:val="22"/>
        </w:rPr>
        <w:t>Zeitschrift</w:t>
      </w:r>
      <w:proofErr w:type="spellEnd"/>
      <w:r>
        <w:rPr>
          <w:sz w:val="22"/>
          <w:szCs w:val="22"/>
        </w:rPr>
        <w:t xml:space="preserve"> für </w:t>
      </w:r>
      <w:proofErr w:type="spellStart"/>
      <w:r>
        <w:rPr>
          <w:sz w:val="22"/>
          <w:szCs w:val="22"/>
        </w:rPr>
        <w:t>Dialektologie</w:t>
      </w:r>
      <w:proofErr w:type="spellEnd"/>
      <w:r>
        <w:rPr>
          <w:sz w:val="22"/>
          <w:szCs w:val="22"/>
        </w:rPr>
        <w:t xml:space="preserve"> und </w:t>
      </w:r>
      <w:proofErr w:type="spellStart"/>
      <w:r>
        <w:rPr>
          <w:sz w:val="22"/>
          <w:szCs w:val="22"/>
        </w:rPr>
        <w:t>Linguistik</w:t>
      </w:r>
      <w:proofErr w:type="spellEnd"/>
      <w:r>
        <w:rPr>
          <w:sz w:val="22"/>
          <w:szCs w:val="22"/>
        </w:rPr>
        <w:t>, 84(2-3), 178-201.</w:t>
      </w:r>
    </w:p>
    <w:p w14:paraId="260D8ABA" w14:textId="77777777" w:rsidR="002F68B8" w:rsidRDefault="00966AA4" w:rsidP="00966AA4">
      <w:pPr>
        <w:widowControl w:val="0"/>
        <w:spacing w:line="276" w:lineRule="auto"/>
        <w:ind w:left="540" w:hanging="540"/>
        <w:rPr>
          <w:sz w:val="22"/>
          <w:szCs w:val="22"/>
        </w:rPr>
      </w:pPr>
      <w:proofErr w:type="spellStart"/>
      <w:r>
        <w:rPr>
          <w:sz w:val="22"/>
          <w:szCs w:val="22"/>
        </w:rPr>
        <w:t>Kettunen</w:t>
      </w:r>
      <w:proofErr w:type="spellEnd"/>
      <w:r>
        <w:rPr>
          <w:sz w:val="22"/>
          <w:szCs w:val="22"/>
        </w:rPr>
        <w:t xml:space="preserve">, K. (2014). Can type-token ratio be used to show morphological complexity of </w:t>
      </w:r>
      <w:proofErr w:type="gramStart"/>
      <w:r>
        <w:rPr>
          <w:sz w:val="22"/>
          <w:szCs w:val="22"/>
        </w:rPr>
        <w:t>languages?.</w:t>
      </w:r>
      <w:proofErr w:type="gramEnd"/>
      <w:r>
        <w:rPr>
          <w:sz w:val="22"/>
          <w:szCs w:val="22"/>
        </w:rPr>
        <w:t xml:space="preserve"> Journal of Quantitative Linguistics, 21(3), 223-245.</w:t>
      </w:r>
    </w:p>
    <w:p w14:paraId="708FCAB3" w14:textId="77777777" w:rsidR="002F68B8" w:rsidRDefault="00966AA4" w:rsidP="00966AA4">
      <w:pPr>
        <w:widowControl w:val="0"/>
        <w:spacing w:line="276" w:lineRule="auto"/>
        <w:ind w:left="540" w:hanging="540"/>
        <w:rPr>
          <w:sz w:val="22"/>
          <w:szCs w:val="22"/>
        </w:rPr>
      </w:pPr>
      <w:proofErr w:type="spellStart"/>
      <w:r>
        <w:rPr>
          <w:sz w:val="22"/>
          <w:szCs w:val="22"/>
        </w:rPr>
        <w:t>Kibrik</w:t>
      </w:r>
      <w:proofErr w:type="spellEnd"/>
      <w:r>
        <w:rPr>
          <w:sz w:val="22"/>
          <w:szCs w:val="22"/>
        </w:rPr>
        <w:t xml:space="preserve">, Aleksandr &amp; Sandro </w:t>
      </w:r>
      <w:proofErr w:type="spellStart"/>
      <w:r>
        <w:rPr>
          <w:sz w:val="22"/>
          <w:szCs w:val="22"/>
        </w:rPr>
        <w:t>Kodzasov</w:t>
      </w:r>
      <w:proofErr w:type="spellEnd"/>
      <w:r>
        <w:rPr>
          <w:sz w:val="22"/>
          <w:szCs w:val="22"/>
        </w:rPr>
        <w:t xml:space="preserve">. (1990). </w:t>
      </w:r>
      <w:proofErr w:type="spellStart"/>
      <w:r>
        <w:rPr>
          <w:sz w:val="22"/>
          <w:szCs w:val="22"/>
        </w:rPr>
        <w:t>Sopostavitelʹnoe</w:t>
      </w:r>
      <w:proofErr w:type="spellEnd"/>
      <w:r>
        <w:rPr>
          <w:sz w:val="22"/>
          <w:szCs w:val="22"/>
        </w:rPr>
        <w:t xml:space="preserve"> </w:t>
      </w:r>
      <w:proofErr w:type="spellStart"/>
      <w:r>
        <w:rPr>
          <w:sz w:val="22"/>
          <w:szCs w:val="22"/>
        </w:rPr>
        <w:t>izučenie</w:t>
      </w:r>
      <w:proofErr w:type="spellEnd"/>
      <w:r>
        <w:rPr>
          <w:sz w:val="22"/>
          <w:szCs w:val="22"/>
        </w:rPr>
        <w:t xml:space="preserve"> </w:t>
      </w:r>
      <w:proofErr w:type="spellStart"/>
      <w:r>
        <w:rPr>
          <w:sz w:val="22"/>
          <w:szCs w:val="22"/>
        </w:rPr>
        <w:t>dagestanskix</w:t>
      </w:r>
      <w:proofErr w:type="spellEnd"/>
      <w:r>
        <w:rPr>
          <w:sz w:val="22"/>
          <w:szCs w:val="22"/>
        </w:rPr>
        <w:t xml:space="preserve"> </w:t>
      </w:r>
      <w:proofErr w:type="spellStart"/>
      <w:r>
        <w:rPr>
          <w:sz w:val="22"/>
          <w:szCs w:val="22"/>
        </w:rPr>
        <w:t>jazykov</w:t>
      </w:r>
      <w:proofErr w:type="spellEnd"/>
      <w:r>
        <w:rPr>
          <w:sz w:val="22"/>
          <w:szCs w:val="22"/>
        </w:rPr>
        <w:t xml:space="preserve">. </w:t>
      </w:r>
      <w:proofErr w:type="spellStart"/>
      <w:r>
        <w:rPr>
          <w:sz w:val="22"/>
          <w:szCs w:val="22"/>
        </w:rPr>
        <w:t>Imja</w:t>
      </w:r>
      <w:proofErr w:type="spellEnd"/>
      <w:r>
        <w:rPr>
          <w:sz w:val="22"/>
          <w:szCs w:val="22"/>
        </w:rPr>
        <w:t xml:space="preserve">. </w:t>
      </w:r>
      <w:proofErr w:type="spellStart"/>
      <w:r>
        <w:rPr>
          <w:sz w:val="22"/>
          <w:szCs w:val="22"/>
        </w:rPr>
        <w:t>Fonetika</w:t>
      </w:r>
      <w:proofErr w:type="spellEnd"/>
      <w:r>
        <w:rPr>
          <w:sz w:val="22"/>
          <w:szCs w:val="22"/>
        </w:rPr>
        <w:t>. Moscow: MGU.</w:t>
      </w:r>
    </w:p>
    <w:p w14:paraId="576019A8" w14:textId="77777777" w:rsidR="002F68B8" w:rsidRDefault="00966AA4" w:rsidP="00966AA4">
      <w:pPr>
        <w:widowControl w:val="0"/>
        <w:spacing w:line="276" w:lineRule="auto"/>
        <w:ind w:left="540" w:hanging="540"/>
        <w:rPr>
          <w:sz w:val="22"/>
          <w:szCs w:val="22"/>
        </w:rPr>
      </w:pPr>
      <w:r>
        <w:rPr>
          <w:sz w:val="22"/>
          <w:szCs w:val="22"/>
        </w:rPr>
        <w:t xml:space="preserve">Nichols, J. (2020). Canonical complexity. In P. </w:t>
      </w:r>
      <w:proofErr w:type="spellStart"/>
      <w:r>
        <w:rPr>
          <w:sz w:val="22"/>
          <w:szCs w:val="22"/>
        </w:rPr>
        <w:t>Arkadiev</w:t>
      </w:r>
      <w:proofErr w:type="spellEnd"/>
      <w:r>
        <w:rPr>
          <w:sz w:val="22"/>
          <w:szCs w:val="22"/>
        </w:rPr>
        <w:t xml:space="preserve"> &amp; F. </w:t>
      </w:r>
      <w:proofErr w:type="spellStart"/>
      <w:r>
        <w:rPr>
          <w:sz w:val="22"/>
          <w:szCs w:val="22"/>
        </w:rPr>
        <w:t>Gardani</w:t>
      </w:r>
      <w:proofErr w:type="spellEnd"/>
      <w:r>
        <w:rPr>
          <w:sz w:val="22"/>
          <w:szCs w:val="22"/>
        </w:rPr>
        <w:t xml:space="preserve"> (Eds.), The complexities of morphology (pp. 163–192). Oxford University Press.</w:t>
      </w:r>
    </w:p>
    <w:p w14:paraId="5AD44C61" w14:textId="217F7229" w:rsidR="00966AA4" w:rsidRDefault="00966AA4" w:rsidP="00046D7C">
      <w:pPr>
        <w:widowControl w:val="0"/>
        <w:spacing w:line="276" w:lineRule="auto"/>
        <w:ind w:left="540" w:hanging="540"/>
        <w:rPr>
          <w:sz w:val="22"/>
          <w:szCs w:val="22"/>
          <w:highlight w:val="white"/>
        </w:rPr>
      </w:pPr>
      <w:r>
        <w:rPr>
          <w:sz w:val="22"/>
          <w:szCs w:val="22"/>
        </w:rPr>
        <w:t xml:space="preserve">Trudgill, Peter. (2011). </w:t>
      </w:r>
      <w:r>
        <w:rPr>
          <w:i/>
          <w:color w:val="222222"/>
          <w:sz w:val="22"/>
          <w:szCs w:val="22"/>
          <w:highlight w:val="white"/>
        </w:rPr>
        <w:t>Sociolinguistic typology: Social determinants of linguistic complexity</w:t>
      </w:r>
      <w:r>
        <w:rPr>
          <w:color w:val="222222"/>
          <w:sz w:val="22"/>
          <w:szCs w:val="22"/>
          <w:highlight w:val="white"/>
        </w:rPr>
        <w:t>. Oxford University Press.</w:t>
      </w:r>
    </w:p>
    <w:p w14:paraId="74413946" w14:textId="77777777" w:rsidR="002F68B8" w:rsidRDefault="00966AA4" w:rsidP="00046D7C">
      <w:pPr>
        <w:widowControl w:val="0"/>
        <w:spacing w:line="276" w:lineRule="auto"/>
        <w:rPr>
          <w:sz w:val="22"/>
          <w:szCs w:val="22"/>
          <w:highlight w:val="white"/>
        </w:rPr>
      </w:pPr>
      <w:r>
        <w:rPr>
          <w:sz w:val="22"/>
          <w:szCs w:val="22"/>
          <w:highlight w:val="white"/>
        </w:rPr>
        <w:lastRenderedPageBreak/>
        <w:t>Figures 1-2.</w:t>
      </w:r>
    </w:p>
    <w:tbl>
      <w:tblPr>
        <w:tblStyle w:val="a5"/>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2F68B8" w:rsidRPr="00966AA4" w14:paraId="3720ED09" w14:textId="77777777">
        <w:tc>
          <w:tcPr>
            <w:tcW w:w="4680" w:type="dxa"/>
            <w:shd w:val="clear" w:color="auto" w:fill="auto"/>
            <w:tcMar>
              <w:top w:w="100" w:type="dxa"/>
              <w:left w:w="100" w:type="dxa"/>
              <w:bottom w:w="100" w:type="dxa"/>
              <w:right w:w="100" w:type="dxa"/>
            </w:tcMar>
          </w:tcPr>
          <w:p w14:paraId="053F3A6E" w14:textId="77777777" w:rsidR="002F68B8" w:rsidRPr="00966AA4" w:rsidRDefault="00966AA4">
            <w:pPr>
              <w:jc w:val="center"/>
              <w:rPr>
                <w:highlight w:val="white"/>
              </w:rPr>
            </w:pPr>
            <w:r w:rsidRPr="00966AA4">
              <w:rPr>
                <w:highlight w:val="white"/>
              </w:rPr>
              <w:t>Narrative corpora</w:t>
            </w:r>
          </w:p>
          <w:p w14:paraId="65B13525" w14:textId="77777777" w:rsidR="002F68B8" w:rsidRPr="00966AA4" w:rsidRDefault="00966AA4">
            <w:pPr>
              <w:jc w:val="both"/>
              <w:rPr>
                <w:highlight w:val="white"/>
              </w:rPr>
            </w:pPr>
            <w:r w:rsidRPr="00966AA4">
              <w:rPr>
                <w:noProof/>
                <w:highlight w:val="white"/>
              </w:rPr>
              <w:drawing>
                <wp:inline distT="114300" distB="114300" distL="114300" distR="114300" wp14:anchorId="63279219" wp14:editId="001CC34B">
                  <wp:extent cx="2838450" cy="1752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838450" cy="1752600"/>
                          </a:xfrm>
                          <a:prstGeom prst="rect">
                            <a:avLst/>
                          </a:prstGeom>
                          <a:ln/>
                        </pic:spPr>
                      </pic:pic>
                    </a:graphicData>
                  </a:graphic>
                </wp:inline>
              </w:drawing>
            </w:r>
          </w:p>
          <w:p w14:paraId="5A50CC91" w14:textId="77777777" w:rsidR="002F68B8" w:rsidRPr="00966AA4" w:rsidRDefault="002F68B8">
            <w:pPr>
              <w:widowControl w:val="0"/>
              <w:pBdr>
                <w:top w:val="nil"/>
                <w:left w:val="nil"/>
                <w:bottom w:val="nil"/>
                <w:right w:val="nil"/>
                <w:between w:val="nil"/>
              </w:pBdr>
              <w:rPr>
                <w:highlight w:val="white"/>
              </w:rPr>
            </w:pPr>
          </w:p>
        </w:tc>
        <w:tc>
          <w:tcPr>
            <w:tcW w:w="4680" w:type="dxa"/>
            <w:shd w:val="clear" w:color="auto" w:fill="auto"/>
            <w:tcMar>
              <w:top w:w="100" w:type="dxa"/>
              <w:left w:w="100" w:type="dxa"/>
              <w:bottom w:w="100" w:type="dxa"/>
              <w:right w:w="100" w:type="dxa"/>
            </w:tcMar>
          </w:tcPr>
          <w:p w14:paraId="68C4C7BE" w14:textId="77777777" w:rsidR="002F68B8" w:rsidRPr="00966AA4" w:rsidRDefault="00966AA4">
            <w:pPr>
              <w:jc w:val="center"/>
              <w:rPr>
                <w:highlight w:val="white"/>
              </w:rPr>
            </w:pPr>
            <w:r w:rsidRPr="00966AA4">
              <w:rPr>
                <w:highlight w:val="white"/>
              </w:rPr>
              <w:t>Translations of the Gospel of Luke</w:t>
            </w:r>
          </w:p>
          <w:p w14:paraId="602FA188" w14:textId="77777777" w:rsidR="002F68B8" w:rsidRPr="00966AA4" w:rsidRDefault="00966AA4">
            <w:pPr>
              <w:jc w:val="both"/>
              <w:rPr>
                <w:highlight w:val="white"/>
              </w:rPr>
            </w:pPr>
            <w:r w:rsidRPr="00966AA4">
              <w:rPr>
                <w:noProof/>
                <w:highlight w:val="white"/>
              </w:rPr>
              <w:drawing>
                <wp:inline distT="114300" distB="114300" distL="114300" distR="114300" wp14:anchorId="6A7CD189" wp14:editId="517F64F0">
                  <wp:extent cx="2838450" cy="1752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838450" cy="1752600"/>
                          </a:xfrm>
                          <a:prstGeom prst="rect">
                            <a:avLst/>
                          </a:prstGeom>
                          <a:ln/>
                        </pic:spPr>
                      </pic:pic>
                    </a:graphicData>
                  </a:graphic>
                </wp:inline>
              </w:drawing>
            </w:r>
          </w:p>
          <w:p w14:paraId="1E54D29F" w14:textId="77777777" w:rsidR="002F68B8" w:rsidRPr="00966AA4" w:rsidRDefault="002F68B8">
            <w:pPr>
              <w:widowControl w:val="0"/>
              <w:pBdr>
                <w:top w:val="nil"/>
                <w:left w:val="nil"/>
                <w:bottom w:val="nil"/>
                <w:right w:val="nil"/>
                <w:between w:val="nil"/>
              </w:pBdr>
              <w:rPr>
                <w:highlight w:val="white"/>
              </w:rPr>
            </w:pPr>
          </w:p>
        </w:tc>
      </w:tr>
    </w:tbl>
    <w:p w14:paraId="053252DB" w14:textId="77777777" w:rsidR="002F68B8" w:rsidRDefault="00966AA4">
      <w:pPr>
        <w:jc w:val="both"/>
        <w:rPr>
          <w:sz w:val="22"/>
          <w:szCs w:val="22"/>
          <w:highlight w:val="white"/>
        </w:rPr>
      </w:pPr>
      <w:r>
        <w:rPr>
          <w:sz w:val="22"/>
          <w:szCs w:val="22"/>
          <w:highlight w:val="white"/>
        </w:rPr>
        <w:t>Figure 3. Type-phoneme ratio in the EC branches</w:t>
      </w:r>
    </w:p>
    <w:p w14:paraId="76A15434" w14:textId="77777777" w:rsidR="002F68B8" w:rsidRDefault="00966AA4">
      <w:pPr>
        <w:jc w:val="both"/>
        <w:rPr>
          <w:sz w:val="22"/>
          <w:szCs w:val="22"/>
          <w:highlight w:val="white"/>
        </w:rPr>
      </w:pPr>
      <w:r>
        <w:rPr>
          <w:noProof/>
          <w:sz w:val="22"/>
          <w:szCs w:val="22"/>
          <w:highlight w:val="white"/>
        </w:rPr>
        <w:drawing>
          <wp:inline distT="114300" distB="114300" distL="114300" distR="114300" wp14:anchorId="1F503031" wp14:editId="62559BF2">
            <wp:extent cx="5943600" cy="2019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019300"/>
                    </a:xfrm>
                    <a:prstGeom prst="rect">
                      <a:avLst/>
                    </a:prstGeom>
                    <a:ln/>
                  </pic:spPr>
                </pic:pic>
              </a:graphicData>
            </a:graphic>
          </wp:inline>
        </w:drawing>
      </w:r>
    </w:p>
    <w:p w14:paraId="21124CA4" w14:textId="3EE9002A" w:rsidR="002F68B8" w:rsidRDefault="00966AA4">
      <w:pPr>
        <w:jc w:val="both"/>
        <w:rPr>
          <w:sz w:val="22"/>
          <w:szCs w:val="22"/>
          <w:highlight w:val="white"/>
        </w:rPr>
      </w:pPr>
      <w:r>
        <w:rPr>
          <w:sz w:val="22"/>
          <w:szCs w:val="22"/>
          <w:highlight w:val="white"/>
        </w:rPr>
        <w:t>Figures 4-6.</w:t>
      </w:r>
    </w:p>
    <w:tbl>
      <w:tblPr>
        <w:tblStyle w:val="a6"/>
        <w:tblW w:w="936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2F68B8" w:rsidRPr="00966AA4" w14:paraId="4EAE7007" w14:textId="77777777" w:rsidTr="00966AA4">
        <w:trPr>
          <w:jc w:val="center"/>
        </w:trPr>
        <w:tc>
          <w:tcPr>
            <w:tcW w:w="4680" w:type="dxa"/>
            <w:shd w:val="clear" w:color="auto" w:fill="auto"/>
            <w:tcMar>
              <w:top w:w="100" w:type="dxa"/>
              <w:left w:w="100" w:type="dxa"/>
              <w:bottom w:w="100" w:type="dxa"/>
              <w:right w:w="100" w:type="dxa"/>
            </w:tcMar>
          </w:tcPr>
          <w:p w14:paraId="5612EA8C" w14:textId="77777777" w:rsidR="002F68B8" w:rsidRPr="00966AA4" w:rsidRDefault="00966AA4">
            <w:pPr>
              <w:jc w:val="center"/>
              <w:rPr>
                <w:highlight w:val="white"/>
              </w:rPr>
            </w:pPr>
            <w:proofErr w:type="spellStart"/>
            <w:r w:rsidRPr="00966AA4">
              <w:rPr>
                <w:highlight w:val="white"/>
              </w:rPr>
              <w:t>Lezgic</w:t>
            </w:r>
            <w:proofErr w:type="spellEnd"/>
          </w:p>
          <w:p w14:paraId="2EBCD4D4" w14:textId="77777777" w:rsidR="002F68B8" w:rsidRPr="00966AA4" w:rsidRDefault="00966AA4" w:rsidP="00966AA4">
            <w:pPr>
              <w:jc w:val="center"/>
              <w:rPr>
                <w:highlight w:val="white"/>
              </w:rPr>
            </w:pPr>
            <w:r w:rsidRPr="00966AA4">
              <w:rPr>
                <w:noProof/>
                <w:highlight w:val="white"/>
              </w:rPr>
              <w:drawing>
                <wp:inline distT="114300" distB="114300" distL="114300" distR="114300" wp14:anchorId="094C6C15" wp14:editId="167A80DF">
                  <wp:extent cx="2341636" cy="1484142"/>
                  <wp:effectExtent l="0" t="0" r="0" b="190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52714" cy="149116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D3D85EF" w14:textId="77777777" w:rsidR="002F68B8" w:rsidRPr="00966AA4" w:rsidRDefault="00966AA4">
            <w:pPr>
              <w:widowControl w:val="0"/>
              <w:jc w:val="center"/>
              <w:rPr>
                <w:highlight w:val="white"/>
              </w:rPr>
            </w:pPr>
            <w:r w:rsidRPr="00966AA4">
              <w:rPr>
                <w:highlight w:val="white"/>
              </w:rPr>
              <w:t>Andic</w:t>
            </w:r>
          </w:p>
          <w:p w14:paraId="5C47EF26" w14:textId="77777777" w:rsidR="002F68B8" w:rsidRPr="00966AA4" w:rsidRDefault="00966AA4" w:rsidP="00966AA4">
            <w:pPr>
              <w:widowControl w:val="0"/>
              <w:jc w:val="center"/>
              <w:rPr>
                <w:highlight w:val="white"/>
              </w:rPr>
            </w:pPr>
            <w:r w:rsidRPr="00966AA4">
              <w:rPr>
                <w:noProof/>
                <w:highlight w:val="white"/>
              </w:rPr>
              <w:drawing>
                <wp:inline distT="114300" distB="114300" distL="114300" distR="114300" wp14:anchorId="17A5B465" wp14:editId="70B5C7E5">
                  <wp:extent cx="2412463" cy="1483995"/>
                  <wp:effectExtent l="0" t="0" r="635" b="190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32604" cy="1496384"/>
                          </a:xfrm>
                          <a:prstGeom prst="rect">
                            <a:avLst/>
                          </a:prstGeom>
                          <a:ln/>
                        </pic:spPr>
                      </pic:pic>
                    </a:graphicData>
                  </a:graphic>
                </wp:inline>
              </w:drawing>
            </w:r>
          </w:p>
        </w:tc>
      </w:tr>
      <w:tr w:rsidR="002F68B8" w:rsidRPr="00966AA4" w14:paraId="181D620E" w14:textId="77777777" w:rsidTr="00966AA4">
        <w:trPr>
          <w:jc w:val="center"/>
        </w:trPr>
        <w:tc>
          <w:tcPr>
            <w:tcW w:w="4680" w:type="dxa"/>
            <w:shd w:val="clear" w:color="auto" w:fill="auto"/>
            <w:tcMar>
              <w:top w:w="100" w:type="dxa"/>
              <w:left w:w="100" w:type="dxa"/>
              <w:bottom w:w="100" w:type="dxa"/>
              <w:right w:w="100" w:type="dxa"/>
            </w:tcMar>
          </w:tcPr>
          <w:p w14:paraId="150C939D" w14:textId="77777777" w:rsidR="002F68B8" w:rsidRPr="00966AA4" w:rsidRDefault="00966AA4">
            <w:pPr>
              <w:keepNext/>
              <w:jc w:val="center"/>
              <w:rPr>
                <w:highlight w:val="white"/>
              </w:rPr>
            </w:pPr>
            <w:proofErr w:type="spellStart"/>
            <w:r w:rsidRPr="00966AA4">
              <w:rPr>
                <w:highlight w:val="white"/>
              </w:rPr>
              <w:t>Tsezic</w:t>
            </w:r>
            <w:proofErr w:type="spellEnd"/>
          </w:p>
          <w:p w14:paraId="1E87A410" w14:textId="77777777" w:rsidR="002F68B8" w:rsidRPr="00966AA4" w:rsidRDefault="00966AA4" w:rsidP="00966AA4">
            <w:pPr>
              <w:jc w:val="center"/>
              <w:rPr>
                <w:highlight w:val="white"/>
              </w:rPr>
            </w:pPr>
            <w:r w:rsidRPr="00966AA4">
              <w:rPr>
                <w:noProof/>
                <w:highlight w:val="white"/>
              </w:rPr>
              <w:drawing>
                <wp:inline distT="114300" distB="114300" distL="114300" distR="114300" wp14:anchorId="4C732CF1" wp14:editId="14E5C35A">
                  <wp:extent cx="2391508" cy="1463040"/>
                  <wp:effectExtent l="0" t="0" r="2540" b="63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391508" cy="1463040"/>
                          </a:xfrm>
                          <a:prstGeom prst="rect">
                            <a:avLst/>
                          </a:prstGeom>
                          <a:ln/>
                        </pic:spPr>
                      </pic:pic>
                    </a:graphicData>
                  </a:graphic>
                </wp:inline>
              </w:drawing>
            </w:r>
          </w:p>
          <w:p w14:paraId="54ADABDD" w14:textId="77777777" w:rsidR="002F68B8" w:rsidRPr="00966AA4" w:rsidRDefault="002F68B8">
            <w:pPr>
              <w:jc w:val="both"/>
              <w:rPr>
                <w:highlight w:val="white"/>
              </w:rPr>
            </w:pPr>
          </w:p>
        </w:tc>
        <w:tc>
          <w:tcPr>
            <w:tcW w:w="4680" w:type="dxa"/>
            <w:shd w:val="clear" w:color="auto" w:fill="auto"/>
            <w:tcMar>
              <w:top w:w="100" w:type="dxa"/>
              <w:left w:w="100" w:type="dxa"/>
              <w:bottom w:w="100" w:type="dxa"/>
              <w:right w:w="100" w:type="dxa"/>
            </w:tcMar>
          </w:tcPr>
          <w:p w14:paraId="25A72404" w14:textId="77777777" w:rsidR="002F68B8" w:rsidRPr="00966AA4" w:rsidRDefault="002F68B8">
            <w:pPr>
              <w:widowControl w:val="0"/>
              <w:rPr>
                <w:highlight w:val="white"/>
              </w:rPr>
            </w:pPr>
          </w:p>
        </w:tc>
      </w:tr>
    </w:tbl>
    <w:p w14:paraId="3A477A32" w14:textId="77777777" w:rsidR="002F68B8" w:rsidRDefault="002F68B8">
      <w:pPr>
        <w:widowControl w:val="0"/>
        <w:spacing w:line="276" w:lineRule="auto"/>
      </w:pPr>
    </w:p>
    <w:sectPr w:rsidR="002F68B8" w:rsidSect="00966AA4">
      <w:pgSz w:w="12240" w:h="15840"/>
      <w:pgMar w:top="1118" w:right="1440" w:bottom="9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8B8"/>
    <w:rsid w:val="00046D7C"/>
    <w:rsid w:val="00226772"/>
    <w:rsid w:val="002F68B8"/>
    <w:rsid w:val="003A135F"/>
    <w:rsid w:val="00966AA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B793EE"/>
  <w15:docId w15:val="{D0386BE8-190C-464D-B17E-A31F69A3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top w:val="nil"/>
        <w:left w:val="nil"/>
        <w:bottom w:val="nil"/>
        <w:right w:val="nil"/>
        <w:between w:val="nil"/>
      </w:pBdr>
      <w:spacing w:after="160" w:line="256" w:lineRule="auto"/>
      <w:ind w:left="720"/>
    </w:pPr>
    <w:rPr>
      <w:rFonts w:ascii="Calibri" w:eastAsia="Calibri" w:hAnsi="Calibri" w:cs="Calibri"/>
      <w:color w:val="000000"/>
      <w:sz w:val="22"/>
      <w:szCs w:val="2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577662">
      <w:bodyDiv w:val="1"/>
      <w:marLeft w:val="0"/>
      <w:marRight w:val="0"/>
      <w:marTop w:val="0"/>
      <w:marBottom w:val="0"/>
      <w:divBdr>
        <w:top w:val="none" w:sz="0" w:space="0" w:color="auto"/>
        <w:left w:val="none" w:sz="0" w:space="0" w:color="auto"/>
        <w:bottom w:val="none" w:sz="0" w:space="0" w:color="auto"/>
        <w:right w:val="none" w:sz="0" w:space="0" w:color="auto"/>
      </w:divBdr>
    </w:div>
    <w:div w:id="1421676336">
      <w:bodyDiv w:val="1"/>
      <w:marLeft w:val="0"/>
      <w:marRight w:val="0"/>
      <w:marTop w:val="0"/>
      <w:marBottom w:val="0"/>
      <w:divBdr>
        <w:top w:val="none" w:sz="0" w:space="0" w:color="auto"/>
        <w:left w:val="none" w:sz="0" w:space="0" w:color="auto"/>
        <w:bottom w:val="none" w:sz="0" w:space="0" w:color="auto"/>
        <w:right w:val="none" w:sz="0" w:space="0" w:color="auto"/>
      </w:divBdr>
      <w:divsChild>
        <w:div w:id="1203129969">
          <w:marLeft w:val="0"/>
          <w:marRight w:val="0"/>
          <w:marTop w:val="0"/>
          <w:marBottom w:val="0"/>
          <w:divBdr>
            <w:top w:val="none" w:sz="0" w:space="0" w:color="auto"/>
            <w:left w:val="none" w:sz="0" w:space="0" w:color="auto"/>
            <w:bottom w:val="none" w:sz="0" w:space="0" w:color="auto"/>
            <w:right w:val="none" w:sz="0" w:space="0" w:color="auto"/>
          </w:divBdr>
        </w:div>
        <w:div w:id="1694067475">
          <w:marLeft w:val="0"/>
          <w:marRight w:val="0"/>
          <w:marTop w:val="0"/>
          <w:marBottom w:val="0"/>
          <w:divBdr>
            <w:top w:val="none" w:sz="0" w:space="0" w:color="auto"/>
            <w:left w:val="none" w:sz="0" w:space="0" w:color="auto"/>
            <w:bottom w:val="none" w:sz="0" w:space="0" w:color="auto"/>
            <w:right w:val="none" w:sz="0" w:space="0" w:color="auto"/>
          </w:divBdr>
        </w:div>
        <w:div w:id="1447458215">
          <w:marLeft w:val="0"/>
          <w:marRight w:val="0"/>
          <w:marTop w:val="0"/>
          <w:marBottom w:val="0"/>
          <w:divBdr>
            <w:top w:val="none" w:sz="0" w:space="0" w:color="auto"/>
            <w:left w:val="none" w:sz="0" w:space="0" w:color="auto"/>
            <w:bottom w:val="none" w:sz="0" w:space="0" w:color="auto"/>
            <w:right w:val="none" w:sz="0" w:space="0" w:color="auto"/>
          </w:divBdr>
        </w:div>
        <w:div w:id="977999068">
          <w:marLeft w:val="0"/>
          <w:marRight w:val="0"/>
          <w:marTop w:val="0"/>
          <w:marBottom w:val="0"/>
          <w:divBdr>
            <w:top w:val="none" w:sz="0" w:space="0" w:color="auto"/>
            <w:left w:val="none" w:sz="0" w:space="0" w:color="auto"/>
            <w:bottom w:val="none" w:sz="0" w:space="0" w:color="auto"/>
            <w:right w:val="none" w:sz="0" w:space="0" w:color="auto"/>
          </w:divBdr>
        </w:div>
      </w:divsChild>
    </w:div>
    <w:div w:id="1619600910">
      <w:bodyDiv w:val="1"/>
      <w:marLeft w:val="0"/>
      <w:marRight w:val="0"/>
      <w:marTop w:val="0"/>
      <w:marBottom w:val="0"/>
      <w:divBdr>
        <w:top w:val="none" w:sz="0" w:space="0" w:color="auto"/>
        <w:left w:val="none" w:sz="0" w:space="0" w:color="auto"/>
        <w:bottom w:val="none" w:sz="0" w:space="0" w:color="auto"/>
        <w:right w:val="none" w:sz="0" w:space="0" w:color="auto"/>
      </w:divBdr>
      <w:divsChild>
        <w:div w:id="19089532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645</Words>
  <Characters>3678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Anastasia Panova</cp:lastModifiedBy>
  <cp:revision>3</cp:revision>
  <dcterms:created xsi:type="dcterms:W3CDTF">2022-01-15T20:55:00Z</dcterms:created>
  <dcterms:modified xsi:type="dcterms:W3CDTF">2022-05-31T19:14:00Z</dcterms:modified>
</cp:coreProperties>
</file>