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Saldos de la reelección municipal</w:t>
      </w:r>
    </w:p>
    <w:p>
      <w:pPr>
        <w:pStyle w:val="Normal"/>
        <w:jc w:val="center"/>
        <w:rPr/>
      </w:pPr>
      <w:r>
        <w:rPr/>
        <w:t xml:space="preserve">por </w:t>
      </w:r>
    </w:p>
    <w:p>
      <w:pPr>
        <w:pStyle w:val="Normal"/>
        <w:jc w:val="center"/>
        <w:rPr/>
      </w:pPr>
      <w:r>
        <w:rPr/>
        <w:t>Eric Magar</w:t>
      </w:r>
    </w:p>
    <w:p>
      <w:pPr>
        <w:pStyle w:val="Normal"/>
        <w:jc w:val="center"/>
        <w:rPr/>
      </w:pPr>
      <w:r>
        <w:rPr/>
        <w:t>22 de octubre 2018</w:t>
      </w:r>
    </w:p>
    <w:p>
      <w:pPr>
        <w:pStyle w:val="Normal"/>
        <w:rPr/>
      </w:pPr>
      <w:r>
        <w:rPr/>
      </w:r>
    </w:p>
    <w:p>
      <w:pPr>
        <w:pStyle w:val="Normal"/>
        <w:rPr/>
      </w:pPr>
      <w:r>
        <w:rPr/>
        <w:t>Para cualquier político, un principio elemental de supervivencia consiste en bailar al son de quien controlará tu carrera en el futuro.</w:t>
      </w:r>
    </w:p>
    <w:p>
      <w:pPr>
        <w:pStyle w:val="Normal"/>
        <w:rPr/>
      </w:pPr>
      <w:r>
        <w:rPr/>
      </w:r>
    </w:p>
    <w:p>
      <w:pPr>
        <w:pStyle w:val="Normal"/>
        <w:rPr/>
      </w:pPr>
      <w:r>
        <w:rPr/>
        <w:t xml:space="preserve">Con la reelección consecutiva, inaugurada en el proceso electoral pasado, se abrió la posibilidad a que políticos ajenos a las cúpulas partidistas tocasen algunas coplas del son. No todas, sólo en algunas ocasiones y quizás ni siquiera las más importantes, porque las cúpulas conservan otros instrumentos para promover o frenar carreras a discreción. El principal es la potestad de negarle la renominación a cualquier aspirante a reelegirse. La que adoptamos en 2014 es, de hecho, una versión muy pasteurizada de la reelección. </w:t>
      </w:r>
    </w:p>
    <w:p>
      <w:pPr>
        <w:pStyle w:val="Normal"/>
        <w:rPr/>
      </w:pPr>
      <w:r>
        <w:rPr/>
      </w:r>
    </w:p>
    <w:p>
      <w:pPr>
        <w:pStyle w:val="Normal"/>
        <w:rPr/>
      </w:pPr>
      <w:r>
        <w:rPr/>
        <w:t xml:space="preserve">Ello no ha obstado para que senadores de Morena introdujeran, el 16 de octubre pasado, una iniciativa de reforma constitucional para regresar el control absoluto a las cúpulas, eliminando la reelección consecutiva de alcaldes y legisladores de los estados. Como en la década de 1930, centralizar todos los instrumentos de control de carreras contribuirá a consolidar un nuevo partido con disciplina férrea. </w:t>
      </w:r>
    </w:p>
    <w:p>
      <w:pPr>
        <w:pStyle w:val="Normal"/>
        <w:rPr/>
      </w:pPr>
      <w:r>
        <w:rPr/>
      </w:r>
    </w:p>
    <w:p>
      <w:pPr>
        <w:pStyle w:val="Normal"/>
        <w:rPr/>
      </w:pPr>
      <w:r>
        <w:rPr/>
        <w:t>La propuesta plantea un difícil dilema para los demás partidos, en particular para los históricamente anti-reelección (PRI y PRD), e incluso para los oportunistas (PANAL y PVEM). Por un lado, el éxito de la contrarreforma beneficiaría también a sus cúpulas sobre sus huestes. Por el otro, sacrificarían un seguro contra desastres. Me refiero a desastres electorales, como el del 1</w:t>
      </w:r>
      <w:r>
        <w:rPr>
          <w:vertAlign w:val="superscript"/>
        </w:rPr>
        <w:t>o</w:t>
      </w:r>
      <w:r>
        <w:rPr/>
        <w:t xml:space="preserve"> de julio pasado. </w:t>
      </w:r>
    </w:p>
    <w:p>
      <w:pPr>
        <w:pStyle w:val="Normal"/>
        <w:rPr/>
      </w:pPr>
      <w:r>
        <w:rPr/>
      </w:r>
    </w:p>
    <w:p>
      <w:pPr>
        <w:pStyle w:val="Normal"/>
        <w:rPr/>
      </w:pPr>
      <w:r>
        <w:rPr/>
        <w:t xml:space="preserve">Para apreciarlo, considere los datos de la tabla. La columna F reporta el número de municipios que renovaron sus ayuntamientos en 2018 en elecciones que permitieron la reelección consecutiva, 1,371 en veintitrés estados. Las columnas restantes reportan la distribución porcentual, en cuatro categorías, de esos municipios. Las categorías A y B contrastan triunfos y derrotas en municipios cuyo alcalde saliente (el o la "ocupante" de la silla en el Palacio Municipal) estaba en la boleta, intentando reelegirse para un segundo periodo. Las categorías C y D, en cambio, reportan triunfos y derrotas en municipios cuyo alcalde saliente se retiró o fue retirado por el partido --- "sillas vacías", por llamarlas de algún modo. Los porcentajes de cada renglón suman 100 por ciento. </w:t>
      </w:r>
    </w:p>
    <w:p>
      <w:pPr>
        <w:pStyle w:val="Normal"/>
        <w:rPr/>
      </w:pPr>
      <w:r>
        <w:rPr/>
      </w:r>
    </w:p>
    <w:p>
      <w:pPr>
        <w:pStyle w:val="Normal"/>
        <w:rPr/>
      </w:pPr>
      <w:r>
        <w:rPr/>
        <w:t>Subrayo primero que, en términos globales, se reeligió 20 por ciento de alcaldes, un total de 276 en todo el país. Aunque sea sólo uno de cada cinco, el dato no es nada despreciable para un primer ejercicio reeleccionista. También es muy notable que, en conjunto, los partidos perdieron casi dos de cada tres sillas vacías (41 por ciento derrotados vs 22 por ciento que ganaron), pero ganaron más alcaldías con ocupante en la boleta que las que perdieron (20 por ciento de ocupantes reelectos vs 17 por ciento derrotados).</w:t>
      </w:r>
    </w:p>
    <w:p>
      <w:pPr>
        <w:pStyle w:val="Normal"/>
        <w:rPr/>
      </w:pPr>
      <w:r>
        <w:rPr/>
      </w:r>
    </w:p>
    <w:p>
      <w:pPr>
        <w:pStyle w:val="Normal"/>
        <w:rPr/>
      </w:pPr>
      <w:r>
        <w:rPr/>
        <w:t>La tabla desglosa también municipios según el partido que ocupaba la presidencia municipal hasta la elección. El caso del PRI, que defendía en 2018 el mayor número de alcaldías (620 municipios que, en su momento, ganó solo o en coalición), es bastante parecido al agregado. Los priistas (solos o en coalición) perdieron casi dos sillas vacías por cada una que consiguieron ganar (42 vs 23 por ciento) --- un desastre electoral similar al de su candidato presidencial. Pero con ocupantes en la boleta, la relación de éxito y fracaso de priistas fue muy cercana a 50:50 --- una mejora considerable en comparación con sus sillas vacías. El otro partido con reservas históricas hacia la reelección consecutiva, el PRD, presenta un patrón muy similar.</w:t>
      </w:r>
    </w:p>
    <w:p>
      <w:pPr>
        <w:pStyle w:val="Normal"/>
        <w:rPr/>
      </w:pPr>
      <w:r>
        <w:rPr/>
      </w:r>
    </w:p>
    <w:p>
      <w:pPr>
        <w:pStyle w:val="Normal"/>
        <w:rPr/>
      </w:pPr>
      <w:r>
        <w:rPr/>
        <w:t xml:space="preserve">El fenómeno se repite para todos los partidos sin distinción, grandes y chicos, viejos y nuevos, nacionales y locales, y hasta candidatos independientes. En ciertos casos, como el del PAN o MC, la relación triunfos/fracasos presenta diferencias aún más pronunciadas entre sillas vacías y ocupantes en la boleta. Vaya, incluso Morena, que defendía pocos municipios, se benefició de la reelección. Ninguno de sus ocupantes perdió la reelección, pero sí perdieron un puñado de sillas vacías. </w:t>
      </w:r>
    </w:p>
    <w:p>
      <w:pPr>
        <w:pStyle w:val="Normal"/>
        <w:rPr/>
      </w:pPr>
      <w:r>
        <w:rPr/>
      </w:r>
    </w:p>
    <w:p>
      <w:pPr>
        <w:pStyle w:val="Normal"/>
        <w:rPr/>
      </w:pPr>
      <w:r>
        <w:rPr/>
        <w:t xml:space="preserve">La reelección fue un muy efectivo seguro contra desastres. Hay evidencia contundente de que los partidos fueron sustancialmente más capaces de evitar la zozobra ante la formidable ola morenista cuando el alcalde saliente buscó la reelección que cuando no lo hizo. </w:t>
      </w:r>
    </w:p>
    <w:p>
      <w:pPr>
        <w:pStyle w:val="Normal"/>
        <w:rPr/>
      </w:pPr>
      <w:r>
        <w:rPr/>
      </w:r>
    </w:p>
    <w:p>
      <w:pPr>
        <w:pStyle w:val="Normal"/>
        <w:rPr/>
      </w:pPr>
      <w:r>
        <w:rPr/>
        <w:t xml:space="preserve">La lección que se desprende de todo esto es contundente. Todos los partidos tienen algo que perder si desaparece la reelección. Quizás importe menos a los partidos chicos, que en su alianza oportunista con Morena, juegan obviamente en otra cancha. Pero la contrarreforma dificultará enormemente que aquellos partidos que quisieran preservar sus máquinas municipales, a lo largo y ancho del territorio, lo consigan. </w:t>
      </w:r>
    </w:p>
    <w:p>
      <w:pPr>
        <w:pStyle w:val="Normal"/>
        <w:rPr/>
      </w:pPr>
      <w:r>
        <w:rPr/>
      </w:r>
    </w:p>
    <w:p>
      <w:pPr>
        <w:pStyle w:val="Normal"/>
        <w:rPr/>
      </w:pPr>
      <w:r>
        <w:rPr/>
        <w:t xml:space="preserve">La primera reelección consecutiva de alcaldes podría también ser la última. Quien venda sus votos en el Congreso para una reforma constitucional estará quemando una póliza de seguro que acaba de demostrar su efectividad y cuya prima ya está pagada. Lo hará bajo su propio riesgo. </w:t>
      </w:r>
    </w:p>
    <w:p>
      <w:pPr>
        <w:pStyle w:val="Normal"/>
        <w:rPr/>
      </w:pPr>
      <w:r>
        <w:rPr/>
      </w:r>
    </w:p>
    <w:p>
      <w:pPr>
        <w:pStyle w:val="Normal"/>
        <w:rPr/>
      </w:pPr>
      <w:r>
        <w:rPr>
          <w:b/>
          <w:bCs/>
        </w:rPr>
        <w:t>Tabla: Reelección consecutiva de alcaldes en 2018</w:t>
      </w:r>
      <w:r>
        <w:rPr/>
        <w:t>. No se contabilizan los municipios de usos y costumbres ni ocho elecciones anuladas. Se excluyen la Ciudad de México y Puebla (aún sin reelección). Fuentes: preparado por el autor con información de los institutos estatales electorales y de páginas de internet de diversos diarios locales.</w:t>
      </w:r>
    </w:p>
    <w:tbl>
      <w:tblPr>
        <w:tblW w:w="9972" w:type="dxa"/>
        <w:jc w:val="left"/>
        <w:tblInd w:w="53" w:type="dxa"/>
        <w:tblBorders>
          <w:top w:val="single" w:sz="2" w:space="0" w:color="000001"/>
        </w:tblBorders>
        <w:tblCellMar>
          <w:top w:w="55" w:type="dxa"/>
          <w:left w:w="54" w:type="dxa"/>
          <w:bottom w:w="55" w:type="dxa"/>
          <w:right w:w="55" w:type="dxa"/>
        </w:tblCellMar>
      </w:tblPr>
      <w:tblGrid>
        <w:gridCol w:w="1722"/>
        <w:gridCol w:w="1485"/>
        <w:gridCol w:w="1486"/>
        <w:gridCol w:w="1484"/>
        <w:gridCol w:w="1486"/>
        <w:gridCol w:w="981"/>
        <w:gridCol w:w="1327"/>
      </w:tblGrid>
      <w:tr>
        <w:trPr/>
        <w:tc>
          <w:tcPr>
            <w:tcW w:w="1722" w:type="dxa"/>
            <w:tcBorders>
              <w:top w:val="single" w:sz="2" w:space="0" w:color="000001"/>
            </w:tcBorders>
            <w:shd w:fill="auto" w:val="clear"/>
          </w:tcPr>
          <w:p>
            <w:pPr>
              <w:pStyle w:val="Normal"/>
              <w:rPr/>
            </w:pPr>
            <w:r>
              <w:rPr/>
            </w:r>
          </w:p>
        </w:tc>
        <w:tc>
          <w:tcPr>
            <w:tcW w:w="1485" w:type="dxa"/>
            <w:tcBorders>
              <w:top w:val="single" w:sz="2" w:space="0" w:color="000001"/>
            </w:tcBorders>
            <w:shd w:fill="auto" w:val="clear"/>
          </w:tcPr>
          <w:p>
            <w:pPr>
              <w:pStyle w:val="Normal"/>
              <w:jc w:val="right"/>
              <w:rPr/>
            </w:pPr>
            <w:r>
              <w:rPr/>
              <w:t>A</w:t>
            </w:r>
          </w:p>
        </w:tc>
        <w:tc>
          <w:tcPr>
            <w:tcW w:w="1486" w:type="dxa"/>
            <w:tcBorders>
              <w:top w:val="single" w:sz="2" w:space="0" w:color="000001"/>
            </w:tcBorders>
            <w:shd w:fill="auto" w:val="clear"/>
          </w:tcPr>
          <w:p>
            <w:pPr>
              <w:pStyle w:val="Normal"/>
              <w:jc w:val="right"/>
              <w:rPr/>
            </w:pPr>
            <w:r>
              <w:rPr/>
              <w:t>B</w:t>
            </w:r>
          </w:p>
        </w:tc>
        <w:tc>
          <w:tcPr>
            <w:tcW w:w="1484" w:type="dxa"/>
            <w:tcBorders>
              <w:top w:val="single" w:sz="2" w:space="0" w:color="000001"/>
            </w:tcBorders>
            <w:shd w:fill="auto" w:val="clear"/>
          </w:tcPr>
          <w:p>
            <w:pPr>
              <w:pStyle w:val="Normal"/>
              <w:jc w:val="right"/>
              <w:rPr/>
            </w:pPr>
            <w:r>
              <w:rPr/>
              <w:t>C</w:t>
            </w:r>
          </w:p>
        </w:tc>
        <w:tc>
          <w:tcPr>
            <w:tcW w:w="1486" w:type="dxa"/>
            <w:tcBorders>
              <w:top w:val="single" w:sz="2" w:space="0" w:color="000001"/>
            </w:tcBorders>
            <w:shd w:fill="auto" w:val="clear"/>
          </w:tcPr>
          <w:p>
            <w:pPr>
              <w:pStyle w:val="Normal"/>
              <w:jc w:val="right"/>
              <w:rPr/>
            </w:pPr>
            <w:r>
              <w:rPr/>
              <w:t>D</w:t>
            </w:r>
          </w:p>
        </w:tc>
        <w:tc>
          <w:tcPr>
            <w:tcW w:w="981" w:type="dxa"/>
            <w:tcBorders>
              <w:top w:val="single" w:sz="2" w:space="0" w:color="000001"/>
            </w:tcBorders>
            <w:shd w:fill="auto" w:val="clear"/>
          </w:tcPr>
          <w:p>
            <w:pPr>
              <w:pStyle w:val="Normal"/>
              <w:jc w:val="right"/>
              <w:rPr/>
            </w:pPr>
            <w:r>
              <w:rPr/>
              <w:t>E</w:t>
            </w:r>
          </w:p>
        </w:tc>
        <w:tc>
          <w:tcPr>
            <w:tcW w:w="1327" w:type="dxa"/>
            <w:tcBorders>
              <w:top w:val="single" w:sz="2" w:space="0" w:color="000001"/>
            </w:tcBorders>
            <w:shd w:fill="auto" w:val="clear"/>
          </w:tcPr>
          <w:p>
            <w:pPr>
              <w:pStyle w:val="Normal"/>
              <w:jc w:val="right"/>
              <w:rPr/>
            </w:pPr>
            <w:r>
              <w:rPr/>
              <w:t>F</w:t>
            </w:r>
          </w:p>
        </w:tc>
      </w:tr>
      <w:tr>
        <w:trPr/>
        <w:tc>
          <w:tcPr>
            <w:tcW w:w="1722" w:type="dxa"/>
            <w:tcBorders>
              <w:bottom w:val="single" w:sz="2" w:space="0" w:color="000000"/>
              <w:insideH w:val="single" w:sz="2" w:space="0" w:color="000000"/>
            </w:tcBorders>
            <w:shd w:fill="auto" w:val="clear"/>
          </w:tcPr>
          <w:p>
            <w:pPr>
              <w:pStyle w:val="Normal"/>
              <w:rPr/>
            </w:pPr>
            <w:r>
              <w:rPr/>
              <w:t>Partido</w:t>
              <w:br/>
              <w:t>saliente</w:t>
            </w:r>
          </w:p>
        </w:tc>
        <w:tc>
          <w:tcPr>
            <w:tcW w:w="1485" w:type="dxa"/>
            <w:tcBorders>
              <w:bottom w:val="single" w:sz="2" w:space="0" w:color="000000"/>
              <w:insideH w:val="single" w:sz="2" w:space="0" w:color="000000"/>
            </w:tcBorders>
            <w:shd w:fill="auto" w:val="clear"/>
          </w:tcPr>
          <w:p>
            <w:pPr>
              <w:pStyle w:val="Normal"/>
              <w:jc w:val="right"/>
              <w:rPr/>
            </w:pPr>
            <w:r>
              <w:rPr/>
              <w:t>Ocupante reelecto</w:t>
              <w:br/>
            </w:r>
            <w:bookmarkStart w:id="0" w:name="__DdeLink__2_1905946262"/>
            <w:bookmarkEnd w:id="0"/>
            <w:r>
              <w:rPr/>
              <w:t>(%)</w:t>
            </w:r>
          </w:p>
        </w:tc>
        <w:tc>
          <w:tcPr>
            <w:tcW w:w="1486" w:type="dxa"/>
            <w:tcBorders>
              <w:bottom w:val="single" w:sz="2" w:space="0" w:color="000000"/>
              <w:insideH w:val="single" w:sz="2" w:space="0" w:color="000000"/>
            </w:tcBorders>
            <w:shd w:fill="auto" w:val="clear"/>
          </w:tcPr>
          <w:p>
            <w:pPr>
              <w:pStyle w:val="Normal"/>
              <w:jc w:val="right"/>
              <w:rPr/>
            </w:pPr>
            <w:r>
              <w:rPr/>
              <w:t>Ocupante derrotado</w:t>
              <w:br/>
              <w:t>(%)</w:t>
            </w:r>
          </w:p>
        </w:tc>
        <w:tc>
          <w:tcPr>
            <w:tcW w:w="1484" w:type="dxa"/>
            <w:tcBorders>
              <w:bottom w:val="single" w:sz="2" w:space="0" w:color="000000"/>
              <w:insideH w:val="single" w:sz="2" w:space="0" w:color="000000"/>
            </w:tcBorders>
            <w:shd w:fill="auto" w:val="clear"/>
          </w:tcPr>
          <w:p>
            <w:pPr>
              <w:pStyle w:val="Normal"/>
              <w:jc w:val="right"/>
              <w:rPr/>
            </w:pPr>
            <w:r>
              <w:rPr/>
              <w:t>Silla vacía ganada</w:t>
              <w:br/>
              <w:t>(%)</w:t>
            </w:r>
          </w:p>
        </w:tc>
        <w:tc>
          <w:tcPr>
            <w:tcW w:w="1486" w:type="dxa"/>
            <w:tcBorders>
              <w:bottom w:val="single" w:sz="2" w:space="0" w:color="000000"/>
              <w:insideH w:val="single" w:sz="2" w:space="0" w:color="000000"/>
            </w:tcBorders>
            <w:shd w:fill="auto" w:val="clear"/>
          </w:tcPr>
          <w:p>
            <w:pPr>
              <w:pStyle w:val="Normal"/>
              <w:jc w:val="right"/>
              <w:rPr/>
            </w:pPr>
            <w:r>
              <w:rPr/>
              <w:t>Silla vacía perdida</w:t>
              <w:br/>
              <w:t>(%)</w:t>
            </w:r>
          </w:p>
        </w:tc>
        <w:tc>
          <w:tcPr>
            <w:tcW w:w="981" w:type="dxa"/>
            <w:tcBorders>
              <w:bottom w:val="single" w:sz="2" w:space="0" w:color="000000"/>
              <w:insideH w:val="single" w:sz="2" w:space="0" w:color="000000"/>
            </w:tcBorders>
            <w:shd w:fill="auto" w:val="clear"/>
          </w:tcPr>
          <w:p>
            <w:pPr>
              <w:pStyle w:val="Normal"/>
              <w:jc w:val="right"/>
              <w:rPr/>
            </w:pPr>
            <w:r>
              <w:rPr/>
              <w:t>Total</w:t>
              <w:br/>
              <w:t>(%)</w:t>
            </w:r>
          </w:p>
        </w:tc>
        <w:tc>
          <w:tcPr>
            <w:tcW w:w="1327" w:type="dxa"/>
            <w:tcBorders>
              <w:bottom w:val="single" w:sz="2" w:space="0" w:color="000000"/>
              <w:insideH w:val="single" w:sz="2" w:space="0" w:color="000000"/>
            </w:tcBorders>
            <w:shd w:fill="auto" w:val="clear"/>
          </w:tcPr>
          <w:p>
            <w:pPr>
              <w:pStyle w:val="Normal"/>
              <w:jc w:val="right"/>
              <w:rPr/>
            </w:pPr>
            <w:r>
              <w:rPr/>
              <w:t>Número de municipios</w:t>
            </w:r>
          </w:p>
        </w:tc>
      </w:tr>
      <w:tr>
        <w:trPr/>
        <w:tc>
          <w:tcPr>
            <w:tcW w:w="1722" w:type="dxa"/>
            <w:tcBorders/>
            <w:shd w:fill="auto" w:val="clear"/>
          </w:tcPr>
          <w:p>
            <w:pPr>
              <w:pStyle w:val="Normal"/>
              <w:rPr/>
            </w:pPr>
            <w:r>
              <w:rPr/>
              <w:t>PRI/coal.</w:t>
            </w:r>
          </w:p>
        </w:tc>
        <w:tc>
          <w:tcPr>
            <w:tcW w:w="1485" w:type="dxa"/>
            <w:tcBorders/>
            <w:shd w:fill="auto" w:val="clear"/>
          </w:tcPr>
          <w:p>
            <w:pPr>
              <w:pStyle w:val="Normal"/>
              <w:jc w:val="right"/>
              <w:rPr/>
            </w:pPr>
            <w:r>
              <w:rPr/>
              <w:t>17</w:t>
            </w:r>
          </w:p>
        </w:tc>
        <w:tc>
          <w:tcPr>
            <w:tcW w:w="1486" w:type="dxa"/>
            <w:tcBorders/>
            <w:shd w:fill="auto" w:val="clear"/>
          </w:tcPr>
          <w:p>
            <w:pPr>
              <w:pStyle w:val="Normal"/>
              <w:jc w:val="right"/>
              <w:rPr/>
            </w:pPr>
            <w:r>
              <w:rPr/>
              <w:t>18</w:t>
            </w:r>
          </w:p>
        </w:tc>
        <w:tc>
          <w:tcPr>
            <w:tcW w:w="1484" w:type="dxa"/>
            <w:tcBorders/>
            <w:shd w:fill="auto" w:val="clear"/>
          </w:tcPr>
          <w:p>
            <w:pPr>
              <w:pStyle w:val="Normal"/>
              <w:jc w:val="right"/>
              <w:rPr/>
            </w:pPr>
            <w:r>
              <w:rPr/>
              <w:t>23</w:t>
            </w:r>
          </w:p>
        </w:tc>
        <w:tc>
          <w:tcPr>
            <w:tcW w:w="1486" w:type="dxa"/>
            <w:tcBorders/>
            <w:shd w:fill="auto" w:val="clear"/>
          </w:tcPr>
          <w:p>
            <w:pPr>
              <w:pStyle w:val="Normal"/>
              <w:jc w:val="right"/>
              <w:rPr/>
            </w:pPr>
            <w:r>
              <w:rPr/>
              <w:t>42</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620</w:t>
            </w:r>
          </w:p>
        </w:tc>
      </w:tr>
      <w:tr>
        <w:trPr/>
        <w:tc>
          <w:tcPr>
            <w:tcW w:w="1722" w:type="dxa"/>
            <w:tcBorders/>
            <w:shd w:fill="auto" w:val="clear"/>
          </w:tcPr>
          <w:p>
            <w:pPr>
              <w:pStyle w:val="Normal"/>
              <w:rPr/>
            </w:pPr>
            <w:r>
              <w:rPr/>
              <w:t>PAN/coal.</w:t>
            </w:r>
          </w:p>
        </w:tc>
        <w:tc>
          <w:tcPr>
            <w:tcW w:w="1485" w:type="dxa"/>
            <w:tcBorders/>
            <w:shd w:fill="auto" w:val="clear"/>
          </w:tcPr>
          <w:p>
            <w:pPr>
              <w:pStyle w:val="Normal"/>
              <w:jc w:val="right"/>
              <w:rPr/>
            </w:pPr>
            <w:r>
              <w:rPr/>
              <w:t>27</w:t>
            </w:r>
          </w:p>
        </w:tc>
        <w:tc>
          <w:tcPr>
            <w:tcW w:w="1486" w:type="dxa"/>
            <w:tcBorders/>
            <w:shd w:fill="auto" w:val="clear"/>
          </w:tcPr>
          <w:p>
            <w:pPr>
              <w:pStyle w:val="Normal"/>
              <w:jc w:val="right"/>
              <w:rPr/>
            </w:pPr>
            <w:r>
              <w:rPr/>
              <w:t>15</w:t>
            </w:r>
          </w:p>
        </w:tc>
        <w:tc>
          <w:tcPr>
            <w:tcW w:w="1484" w:type="dxa"/>
            <w:tcBorders/>
            <w:shd w:fill="auto" w:val="clear"/>
          </w:tcPr>
          <w:p>
            <w:pPr>
              <w:pStyle w:val="Normal"/>
              <w:jc w:val="right"/>
              <w:rPr/>
            </w:pPr>
            <w:r>
              <w:rPr/>
              <w:t>26</w:t>
            </w:r>
          </w:p>
        </w:tc>
        <w:tc>
          <w:tcPr>
            <w:tcW w:w="1486" w:type="dxa"/>
            <w:tcBorders/>
            <w:shd w:fill="auto" w:val="clear"/>
          </w:tcPr>
          <w:p>
            <w:pPr>
              <w:pStyle w:val="Normal"/>
              <w:jc w:val="right"/>
              <w:rPr/>
            </w:pPr>
            <w:r>
              <w:rPr/>
              <w:t>32</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340</w:t>
            </w:r>
          </w:p>
        </w:tc>
      </w:tr>
      <w:tr>
        <w:trPr/>
        <w:tc>
          <w:tcPr>
            <w:tcW w:w="1722" w:type="dxa"/>
            <w:tcBorders/>
            <w:shd w:fill="auto" w:val="clear"/>
          </w:tcPr>
          <w:p>
            <w:pPr>
              <w:pStyle w:val="Normal"/>
              <w:rPr/>
            </w:pPr>
            <w:r>
              <w:rPr/>
              <w:t>PRD/coal.</w:t>
            </w:r>
          </w:p>
        </w:tc>
        <w:tc>
          <w:tcPr>
            <w:tcW w:w="1485" w:type="dxa"/>
            <w:tcBorders/>
            <w:shd w:fill="auto" w:val="clear"/>
          </w:tcPr>
          <w:p>
            <w:pPr>
              <w:pStyle w:val="Normal"/>
              <w:jc w:val="right"/>
              <w:rPr/>
            </w:pPr>
            <w:r>
              <w:rPr/>
              <w:t>19</w:t>
            </w:r>
          </w:p>
        </w:tc>
        <w:tc>
          <w:tcPr>
            <w:tcW w:w="1486" w:type="dxa"/>
            <w:tcBorders/>
            <w:shd w:fill="auto" w:val="clear"/>
          </w:tcPr>
          <w:p>
            <w:pPr>
              <w:pStyle w:val="Normal"/>
              <w:jc w:val="right"/>
              <w:rPr/>
            </w:pPr>
            <w:r>
              <w:rPr/>
              <w:t>16</w:t>
            </w:r>
          </w:p>
        </w:tc>
        <w:tc>
          <w:tcPr>
            <w:tcW w:w="1484" w:type="dxa"/>
            <w:tcBorders/>
            <w:shd w:fill="auto" w:val="clear"/>
          </w:tcPr>
          <w:p>
            <w:pPr>
              <w:pStyle w:val="Normal"/>
              <w:jc w:val="right"/>
              <w:rPr/>
            </w:pPr>
            <w:r>
              <w:rPr/>
              <w:t>25</w:t>
            </w:r>
          </w:p>
        </w:tc>
        <w:tc>
          <w:tcPr>
            <w:tcW w:w="1486" w:type="dxa"/>
            <w:tcBorders/>
            <w:shd w:fill="auto" w:val="clear"/>
          </w:tcPr>
          <w:p>
            <w:pPr>
              <w:pStyle w:val="Normal"/>
              <w:jc w:val="right"/>
              <w:rPr/>
            </w:pPr>
            <w:r>
              <w:rPr/>
              <w:t>40</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140</w:t>
            </w:r>
          </w:p>
        </w:tc>
      </w:tr>
      <w:tr>
        <w:trPr/>
        <w:tc>
          <w:tcPr>
            <w:tcW w:w="1722" w:type="dxa"/>
            <w:tcBorders/>
            <w:shd w:fill="auto" w:val="clear"/>
          </w:tcPr>
          <w:p>
            <w:pPr>
              <w:pStyle w:val="Normal"/>
              <w:rPr/>
            </w:pPr>
            <w:r>
              <w:rPr/>
              <w:t>PVEM</w:t>
            </w:r>
          </w:p>
        </w:tc>
        <w:tc>
          <w:tcPr>
            <w:tcW w:w="1485" w:type="dxa"/>
            <w:tcBorders/>
            <w:shd w:fill="auto" w:val="clear"/>
          </w:tcPr>
          <w:p>
            <w:pPr>
              <w:pStyle w:val="Normal"/>
              <w:jc w:val="right"/>
              <w:rPr/>
            </w:pPr>
            <w:r>
              <w:rPr/>
              <w:t>11</w:t>
            </w:r>
          </w:p>
        </w:tc>
        <w:tc>
          <w:tcPr>
            <w:tcW w:w="1486" w:type="dxa"/>
            <w:tcBorders/>
            <w:shd w:fill="auto" w:val="clear"/>
          </w:tcPr>
          <w:p>
            <w:pPr>
              <w:pStyle w:val="Normal"/>
              <w:jc w:val="right"/>
              <w:rPr/>
            </w:pPr>
            <w:r>
              <w:rPr/>
              <w:t>14</w:t>
            </w:r>
          </w:p>
        </w:tc>
        <w:tc>
          <w:tcPr>
            <w:tcW w:w="1484" w:type="dxa"/>
            <w:tcBorders/>
            <w:shd w:fill="auto" w:val="clear"/>
          </w:tcPr>
          <w:p>
            <w:pPr>
              <w:pStyle w:val="Normal"/>
              <w:jc w:val="right"/>
              <w:rPr/>
            </w:pPr>
            <w:r>
              <w:rPr/>
              <w:t>20</w:t>
            </w:r>
          </w:p>
        </w:tc>
        <w:tc>
          <w:tcPr>
            <w:tcW w:w="1486" w:type="dxa"/>
            <w:tcBorders/>
            <w:shd w:fill="auto" w:val="clear"/>
          </w:tcPr>
          <w:p>
            <w:pPr>
              <w:pStyle w:val="Normal"/>
              <w:jc w:val="right"/>
              <w:rPr/>
            </w:pPr>
            <w:r>
              <w:rPr/>
              <w:t>55</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81</w:t>
            </w:r>
          </w:p>
        </w:tc>
      </w:tr>
      <w:tr>
        <w:trPr/>
        <w:tc>
          <w:tcPr>
            <w:tcW w:w="1722" w:type="dxa"/>
            <w:tcBorders/>
            <w:shd w:fill="auto" w:val="clear"/>
          </w:tcPr>
          <w:p>
            <w:pPr>
              <w:pStyle w:val="Normal"/>
              <w:rPr/>
            </w:pPr>
            <w:r>
              <w:rPr/>
              <w:t>MC</w:t>
            </w:r>
          </w:p>
        </w:tc>
        <w:tc>
          <w:tcPr>
            <w:tcW w:w="1485" w:type="dxa"/>
            <w:tcBorders/>
            <w:shd w:fill="auto" w:val="clear"/>
          </w:tcPr>
          <w:p>
            <w:pPr>
              <w:pStyle w:val="Normal"/>
              <w:jc w:val="right"/>
              <w:rPr/>
            </w:pPr>
            <w:r>
              <w:rPr/>
              <w:t>27</w:t>
            </w:r>
          </w:p>
        </w:tc>
        <w:tc>
          <w:tcPr>
            <w:tcW w:w="1486" w:type="dxa"/>
            <w:tcBorders/>
            <w:shd w:fill="auto" w:val="clear"/>
          </w:tcPr>
          <w:p>
            <w:pPr>
              <w:pStyle w:val="Normal"/>
              <w:jc w:val="right"/>
              <w:rPr/>
            </w:pPr>
            <w:r>
              <w:rPr/>
              <w:t>15</w:t>
            </w:r>
          </w:p>
        </w:tc>
        <w:tc>
          <w:tcPr>
            <w:tcW w:w="1484" w:type="dxa"/>
            <w:tcBorders/>
            <w:shd w:fill="auto" w:val="clear"/>
          </w:tcPr>
          <w:p>
            <w:pPr>
              <w:pStyle w:val="Normal"/>
              <w:jc w:val="right"/>
              <w:rPr/>
            </w:pPr>
            <w:r>
              <w:rPr/>
              <w:t>27</w:t>
            </w:r>
          </w:p>
        </w:tc>
        <w:tc>
          <w:tcPr>
            <w:tcW w:w="1486" w:type="dxa"/>
            <w:tcBorders/>
            <w:shd w:fill="auto" w:val="clear"/>
          </w:tcPr>
          <w:p>
            <w:pPr>
              <w:pStyle w:val="Normal"/>
              <w:jc w:val="right"/>
              <w:rPr/>
            </w:pPr>
            <w:r>
              <w:rPr/>
              <w:t>31</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59</w:t>
            </w:r>
          </w:p>
        </w:tc>
      </w:tr>
      <w:tr>
        <w:trPr/>
        <w:tc>
          <w:tcPr>
            <w:tcW w:w="1722" w:type="dxa"/>
            <w:tcBorders/>
            <w:shd w:fill="auto" w:val="clear"/>
          </w:tcPr>
          <w:p>
            <w:pPr>
              <w:pStyle w:val="Normal"/>
              <w:rPr/>
            </w:pPr>
            <w:r>
              <w:rPr/>
              <w:t>PT</w:t>
            </w:r>
          </w:p>
        </w:tc>
        <w:tc>
          <w:tcPr>
            <w:tcW w:w="1485" w:type="dxa"/>
            <w:tcBorders/>
            <w:shd w:fill="auto" w:val="clear"/>
          </w:tcPr>
          <w:p>
            <w:pPr>
              <w:pStyle w:val="Normal"/>
              <w:jc w:val="right"/>
              <w:rPr/>
            </w:pPr>
            <w:r>
              <w:rPr/>
              <w:t>23</w:t>
            </w:r>
          </w:p>
        </w:tc>
        <w:tc>
          <w:tcPr>
            <w:tcW w:w="1486" w:type="dxa"/>
            <w:tcBorders/>
            <w:shd w:fill="auto" w:val="clear"/>
          </w:tcPr>
          <w:p>
            <w:pPr>
              <w:pStyle w:val="Normal"/>
              <w:jc w:val="right"/>
              <w:rPr/>
            </w:pPr>
            <w:r>
              <w:rPr/>
              <w:t>20</w:t>
            </w:r>
          </w:p>
        </w:tc>
        <w:tc>
          <w:tcPr>
            <w:tcW w:w="1484" w:type="dxa"/>
            <w:tcBorders/>
            <w:shd w:fill="auto" w:val="clear"/>
          </w:tcPr>
          <w:p>
            <w:pPr>
              <w:pStyle w:val="Normal"/>
              <w:jc w:val="right"/>
              <w:rPr/>
            </w:pPr>
            <w:r>
              <w:rPr/>
              <w:t>9</w:t>
            </w:r>
          </w:p>
        </w:tc>
        <w:tc>
          <w:tcPr>
            <w:tcW w:w="1486" w:type="dxa"/>
            <w:tcBorders/>
            <w:shd w:fill="auto" w:val="clear"/>
          </w:tcPr>
          <w:p>
            <w:pPr>
              <w:pStyle w:val="Normal"/>
              <w:jc w:val="right"/>
              <w:rPr/>
            </w:pPr>
            <w:r>
              <w:rPr/>
              <w:t>48</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35</w:t>
            </w:r>
          </w:p>
        </w:tc>
      </w:tr>
      <w:tr>
        <w:trPr/>
        <w:tc>
          <w:tcPr>
            <w:tcW w:w="1722" w:type="dxa"/>
            <w:tcBorders/>
            <w:shd w:fill="auto" w:val="clear"/>
          </w:tcPr>
          <w:p>
            <w:pPr>
              <w:pStyle w:val="Normal"/>
              <w:rPr/>
            </w:pPr>
            <w:r>
              <w:rPr/>
              <w:t>PANAL</w:t>
            </w:r>
          </w:p>
        </w:tc>
        <w:tc>
          <w:tcPr>
            <w:tcW w:w="1485" w:type="dxa"/>
            <w:tcBorders/>
            <w:shd w:fill="auto" w:val="clear"/>
          </w:tcPr>
          <w:p>
            <w:pPr>
              <w:pStyle w:val="Normal"/>
              <w:jc w:val="right"/>
              <w:rPr/>
            </w:pPr>
            <w:r>
              <w:rPr/>
              <w:t>32</w:t>
            </w:r>
          </w:p>
        </w:tc>
        <w:tc>
          <w:tcPr>
            <w:tcW w:w="1486" w:type="dxa"/>
            <w:tcBorders/>
            <w:shd w:fill="auto" w:val="clear"/>
          </w:tcPr>
          <w:p>
            <w:pPr>
              <w:pStyle w:val="Normal"/>
              <w:jc w:val="right"/>
              <w:rPr/>
            </w:pPr>
            <w:r>
              <w:rPr/>
              <w:t>14</w:t>
            </w:r>
          </w:p>
        </w:tc>
        <w:tc>
          <w:tcPr>
            <w:tcW w:w="1484" w:type="dxa"/>
            <w:tcBorders/>
            <w:shd w:fill="auto" w:val="clear"/>
          </w:tcPr>
          <w:p>
            <w:pPr>
              <w:pStyle w:val="Normal"/>
              <w:jc w:val="right"/>
              <w:rPr/>
            </w:pPr>
            <w:r>
              <w:rPr/>
              <w:t>9</w:t>
            </w:r>
          </w:p>
        </w:tc>
        <w:tc>
          <w:tcPr>
            <w:tcW w:w="1486" w:type="dxa"/>
            <w:tcBorders/>
            <w:shd w:fill="auto" w:val="clear"/>
          </w:tcPr>
          <w:p>
            <w:pPr>
              <w:pStyle w:val="Normal"/>
              <w:jc w:val="right"/>
              <w:rPr/>
            </w:pPr>
            <w:r>
              <w:rPr/>
              <w:t>45</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22</w:t>
            </w:r>
          </w:p>
        </w:tc>
      </w:tr>
      <w:tr>
        <w:trPr/>
        <w:tc>
          <w:tcPr>
            <w:tcW w:w="1722" w:type="dxa"/>
            <w:tcBorders/>
            <w:shd w:fill="auto" w:val="clear"/>
          </w:tcPr>
          <w:p>
            <w:pPr>
              <w:pStyle w:val="Normal"/>
              <w:rPr/>
            </w:pPr>
            <w:r>
              <w:rPr/>
              <w:t>Morena</w:t>
            </w:r>
          </w:p>
        </w:tc>
        <w:tc>
          <w:tcPr>
            <w:tcW w:w="1485" w:type="dxa"/>
            <w:tcBorders/>
            <w:shd w:fill="auto" w:val="clear"/>
          </w:tcPr>
          <w:p>
            <w:pPr>
              <w:pStyle w:val="Normal"/>
              <w:jc w:val="right"/>
              <w:rPr/>
            </w:pPr>
            <w:r>
              <w:rPr/>
              <w:t>40</w:t>
            </w:r>
          </w:p>
        </w:tc>
        <w:tc>
          <w:tcPr>
            <w:tcW w:w="1486" w:type="dxa"/>
            <w:tcBorders/>
            <w:shd w:fill="auto" w:val="clear"/>
          </w:tcPr>
          <w:p>
            <w:pPr>
              <w:pStyle w:val="Normal"/>
              <w:jc w:val="right"/>
              <w:rPr/>
            </w:pPr>
            <w:r>
              <w:rPr/>
              <w:t>0</w:t>
            </w:r>
          </w:p>
        </w:tc>
        <w:tc>
          <w:tcPr>
            <w:tcW w:w="1484" w:type="dxa"/>
            <w:tcBorders/>
            <w:shd w:fill="auto" w:val="clear"/>
          </w:tcPr>
          <w:p>
            <w:pPr>
              <w:pStyle w:val="Normal"/>
              <w:jc w:val="right"/>
              <w:rPr/>
            </w:pPr>
            <w:r>
              <w:rPr/>
              <w:t>40</w:t>
            </w:r>
          </w:p>
        </w:tc>
        <w:tc>
          <w:tcPr>
            <w:tcW w:w="1486" w:type="dxa"/>
            <w:tcBorders/>
            <w:shd w:fill="auto" w:val="clear"/>
          </w:tcPr>
          <w:p>
            <w:pPr>
              <w:pStyle w:val="Normal"/>
              <w:jc w:val="right"/>
              <w:rPr/>
            </w:pPr>
            <w:r>
              <w:rPr/>
              <w:t>20</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20</w:t>
            </w:r>
          </w:p>
        </w:tc>
      </w:tr>
      <w:tr>
        <w:trPr/>
        <w:tc>
          <w:tcPr>
            <w:tcW w:w="1722" w:type="dxa"/>
            <w:tcBorders/>
            <w:shd w:fill="auto" w:val="clear"/>
          </w:tcPr>
          <w:p>
            <w:pPr>
              <w:pStyle w:val="Normal"/>
              <w:rPr/>
            </w:pPr>
            <w:r>
              <w:rPr/>
              <w:t>PES</w:t>
            </w:r>
          </w:p>
        </w:tc>
        <w:tc>
          <w:tcPr>
            <w:tcW w:w="1485" w:type="dxa"/>
            <w:tcBorders/>
            <w:shd w:fill="auto" w:val="clear"/>
          </w:tcPr>
          <w:p>
            <w:pPr>
              <w:pStyle w:val="Normal"/>
              <w:jc w:val="right"/>
              <w:rPr/>
            </w:pPr>
            <w:r>
              <w:rPr/>
              <w:t>40</w:t>
            </w:r>
          </w:p>
        </w:tc>
        <w:tc>
          <w:tcPr>
            <w:tcW w:w="1486" w:type="dxa"/>
            <w:tcBorders/>
            <w:shd w:fill="auto" w:val="clear"/>
          </w:tcPr>
          <w:p>
            <w:pPr>
              <w:pStyle w:val="Normal"/>
              <w:jc w:val="right"/>
              <w:rPr/>
            </w:pPr>
            <w:r>
              <w:rPr/>
              <w:t>0</w:t>
            </w:r>
          </w:p>
        </w:tc>
        <w:tc>
          <w:tcPr>
            <w:tcW w:w="1484" w:type="dxa"/>
            <w:tcBorders/>
            <w:shd w:fill="auto" w:val="clear"/>
          </w:tcPr>
          <w:p>
            <w:pPr>
              <w:pStyle w:val="Normal"/>
              <w:jc w:val="right"/>
              <w:rPr/>
            </w:pPr>
            <w:r>
              <w:rPr/>
              <w:t>0</w:t>
            </w:r>
          </w:p>
        </w:tc>
        <w:tc>
          <w:tcPr>
            <w:tcW w:w="1486" w:type="dxa"/>
            <w:tcBorders/>
            <w:shd w:fill="auto" w:val="clear"/>
          </w:tcPr>
          <w:p>
            <w:pPr>
              <w:pStyle w:val="Normal"/>
              <w:jc w:val="right"/>
              <w:rPr/>
            </w:pPr>
            <w:r>
              <w:rPr/>
              <w:t>60</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5</w:t>
            </w:r>
          </w:p>
        </w:tc>
      </w:tr>
      <w:tr>
        <w:trPr/>
        <w:tc>
          <w:tcPr>
            <w:tcW w:w="1722" w:type="dxa"/>
            <w:tcBorders/>
            <w:shd w:fill="auto" w:val="clear"/>
          </w:tcPr>
          <w:p>
            <w:pPr>
              <w:pStyle w:val="Normal"/>
              <w:rPr/>
            </w:pPr>
            <w:r>
              <w:rPr/>
              <w:t>Independientes</w:t>
            </w:r>
          </w:p>
        </w:tc>
        <w:tc>
          <w:tcPr>
            <w:tcW w:w="1485" w:type="dxa"/>
            <w:tcBorders/>
            <w:shd w:fill="auto" w:val="clear"/>
          </w:tcPr>
          <w:p>
            <w:pPr>
              <w:pStyle w:val="Normal"/>
              <w:jc w:val="right"/>
              <w:rPr/>
            </w:pPr>
            <w:r>
              <w:rPr/>
              <w:t>33</w:t>
            </w:r>
          </w:p>
        </w:tc>
        <w:tc>
          <w:tcPr>
            <w:tcW w:w="1486" w:type="dxa"/>
            <w:tcBorders/>
            <w:shd w:fill="auto" w:val="clear"/>
          </w:tcPr>
          <w:p>
            <w:pPr>
              <w:pStyle w:val="Normal"/>
              <w:jc w:val="right"/>
              <w:rPr/>
            </w:pPr>
            <w:r>
              <w:rPr/>
              <w:t>44</w:t>
            </w:r>
          </w:p>
        </w:tc>
        <w:tc>
          <w:tcPr>
            <w:tcW w:w="1484" w:type="dxa"/>
            <w:tcBorders/>
            <w:shd w:fill="auto" w:val="clear"/>
          </w:tcPr>
          <w:p>
            <w:pPr>
              <w:pStyle w:val="Normal"/>
              <w:jc w:val="right"/>
              <w:rPr/>
            </w:pPr>
            <w:r>
              <w:rPr/>
              <w:t>0</w:t>
            </w:r>
          </w:p>
        </w:tc>
        <w:tc>
          <w:tcPr>
            <w:tcW w:w="1486" w:type="dxa"/>
            <w:tcBorders/>
            <w:shd w:fill="auto" w:val="clear"/>
          </w:tcPr>
          <w:p>
            <w:pPr>
              <w:pStyle w:val="Normal"/>
              <w:jc w:val="right"/>
              <w:rPr/>
            </w:pPr>
            <w:r>
              <w:rPr/>
              <w:t>22</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9</w:t>
            </w:r>
          </w:p>
        </w:tc>
      </w:tr>
      <w:tr>
        <w:trPr/>
        <w:tc>
          <w:tcPr>
            <w:tcW w:w="1722" w:type="dxa"/>
            <w:tcBorders/>
            <w:shd w:fill="auto" w:val="clear"/>
          </w:tcPr>
          <w:p>
            <w:pPr>
              <w:pStyle w:val="Normal"/>
              <w:rPr/>
            </w:pPr>
            <w:r>
              <w:rPr/>
              <w:t>Part. locales</w:t>
            </w:r>
          </w:p>
        </w:tc>
        <w:tc>
          <w:tcPr>
            <w:tcW w:w="1485" w:type="dxa"/>
            <w:tcBorders/>
            <w:shd w:fill="auto" w:val="clear"/>
          </w:tcPr>
          <w:p>
            <w:pPr>
              <w:pStyle w:val="Normal"/>
              <w:jc w:val="right"/>
              <w:rPr/>
            </w:pPr>
            <w:r>
              <w:rPr/>
              <w:t>10</w:t>
            </w:r>
          </w:p>
        </w:tc>
        <w:tc>
          <w:tcPr>
            <w:tcW w:w="1486" w:type="dxa"/>
            <w:tcBorders/>
            <w:shd w:fill="auto" w:val="clear"/>
          </w:tcPr>
          <w:p>
            <w:pPr>
              <w:pStyle w:val="Normal"/>
              <w:jc w:val="right"/>
              <w:rPr/>
            </w:pPr>
            <w:r>
              <w:rPr/>
              <w:t>18</w:t>
            </w:r>
          </w:p>
        </w:tc>
        <w:tc>
          <w:tcPr>
            <w:tcW w:w="1484" w:type="dxa"/>
            <w:tcBorders/>
            <w:shd w:fill="auto" w:val="clear"/>
          </w:tcPr>
          <w:p>
            <w:pPr>
              <w:pStyle w:val="Normal"/>
              <w:jc w:val="right"/>
              <w:rPr/>
            </w:pPr>
            <w:r>
              <w:rPr/>
              <w:t>5</w:t>
            </w:r>
          </w:p>
        </w:tc>
        <w:tc>
          <w:tcPr>
            <w:tcW w:w="1486" w:type="dxa"/>
            <w:tcBorders/>
            <w:shd w:fill="auto" w:val="clear"/>
          </w:tcPr>
          <w:p>
            <w:pPr>
              <w:pStyle w:val="Normal"/>
              <w:jc w:val="right"/>
              <w:rPr/>
            </w:pPr>
            <w:r>
              <w:rPr/>
              <w:t>67</w:t>
            </w:r>
          </w:p>
        </w:tc>
        <w:tc>
          <w:tcPr>
            <w:tcW w:w="981" w:type="dxa"/>
            <w:tcBorders/>
            <w:shd w:fill="auto" w:val="clear"/>
          </w:tcPr>
          <w:p>
            <w:pPr>
              <w:pStyle w:val="Normal"/>
              <w:jc w:val="right"/>
              <w:rPr/>
            </w:pPr>
            <w:r>
              <w:rPr/>
              <w:t>100</w:t>
            </w:r>
          </w:p>
        </w:tc>
        <w:tc>
          <w:tcPr>
            <w:tcW w:w="1327" w:type="dxa"/>
            <w:tcBorders/>
            <w:shd w:fill="auto" w:val="clear"/>
          </w:tcPr>
          <w:p>
            <w:pPr>
              <w:pStyle w:val="Normal"/>
              <w:jc w:val="right"/>
              <w:rPr/>
            </w:pPr>
            <w:r>
              <w:rPr/>
              <w:t>40</w:t>
            </w:r>
          </w:p>
        </w:tc>
      </w:tr>
      <w:tr>
        <w:trPr/>
        <w:tc>
          <w:tcPr>
            <w:tcW w:w="1722" w:type="dxa"/>
            <w:tcBorders>
              <w:top w:val="single" w:sz="2" w:space="0" w:color="000001"/>
              <w:bottom w:val="single" w:sz="2" w:space="0" w:color="000001"/>
              <w:insideH w:val="single" w:sz="2" w:space="0" w:color="000001"/>
            </w:tcBorders>
            <w:shd w:fill="auto" w:val="clear"/>
          </w:tcPr>
          <w:p>
            <w:pPr>
              <w:pStyle w:val="Normal"/>
              <w:rPr/>
            </w:pPr>
            <w:r>
              <w:rPr/>
              <w:t>Todos</w:t>
            </w:r>
          </w:p>
        </w:tc>
        <w:tc>
          <w:tcPr>
            <w:tcW w:w="1485" w:type="dxa"/>
            <w:tcBorders>
              <w:top w:val="single" w:sz="2" w:space="0" w:color="000001"/>
              <w:bottom w:val="single" w:sz="2" w:space="0" w:color="000001"/>
              <w:insideH w:val="single" w:sz="2" w:space="0" w:color="000001"/>
            </w:tcBorders>
            <w:shd w:fill="auto" w:val="clear"/>
          </w:tcPr>
          <w:p>
            <w:pPr>
              <w:pStyle w:val="Normal"/>
              <w:jc w:val="right"/>
              <w:rPr/>
            </w:pPr>
            <w:r>
              <w:rPr/>
              <w:t>20</w:t>
            </w:r>
          </w:p>
        </w:tc>
        <w:tc>
          <w:tcPr>
            <w:tcW w:w="1486" w:type="dxa"/>
            <w:tcBorders>
              <w:top w:val="single" w:sz="2" w:space="0" w:color="000001"/>
              <w:bottom w:val="single" w:sz="2" w:space="0" w:color="000001"/>
              <w:insideH w:val="single" w:sz="2" w:space="0" w:color="000001"/>
            </w:tcBorders>
            <w:shd w:fill="auto" w:val="clear"/>
          </w:tcPr>
          <w:p>
            <w:pPr>
              <w:pStyle w:val="Normal"/>
              <w:jc w:val="right"/>
              <w:rPr/>
            </w:pPr>
            <w:r>
              <w:rPr/>
              <w:t>17</w:t>
            </w:r>
          </w:p>
        </w:tc>
        <w:tc>
          <w:tcPr>
            <w:tcW w:w="1484" w:type="dxa"/>
            <w:tcBorders>
              <w:top w:val="single" w:sz="2" w:space="0" w:color="000001"/>
              <w:bottom w:val="single" w:sz="2" w:space="0" w:color="000001"/>
              <w:insideH w:val="single" w:sz="2" w:space="0" w:color="000001"/>
            </w:tcBorders>
            <w:shd w:fill="auto" w:val="clear"/>
          </w:tcPr>
          <w:p>
            <w:pPr>
              <w:pStyle w:val="Normal"/>
              <w:jc w:val="right"/>
              <w:rPr/>
            </w:pPr>
            <w:r>
              <w:rPr/>
              <w:t>22</w:t>
            </w:r>
          </w:p>
        </w:tc>
        <w:tc>
          <w:tcPr>
            <w:tcW w:w="1486" w:type="dxa"/>
            <w:tcBorders>
              <w:top w:val="single" w:sz="2" w:space="0" w:color="000001"/>
              <w:bottom w:val="single" w:sz="2" w:space="0" w:color="000001"/>
              <w:insideH w:val="single" w:sz="2" w:space="0" w:color="000001"/>
            </w:tcBorders>
            <w:shd w:fill="auto" w:val="clear"/>
          </w:tcPr>
          <w:p>
            <w:pPr>
              <w:pStyle w:val="Normal"/>
              <w:jc w:val="right"/>
              <w:rPr/>
            </w:pPr>
            <w:r>
              <w:rPr/>
              <w:t>41</w:t>
            </w:r>
          </w:p>
        </w:tc>
        <w:tc>
          <w:tcPr>
            <w:tcW w:w="981" w:type="dxa"/>
            <w:tcBorders>
              <w:top w:val="single" w:sz="2" w:space="0" w:color="000001"/>
              <w:bottom w:val="single" w:sz="2" w:space="0" w:color="000001"/>
              <w:insideH w:val="single" w:sz="2" w:space="0" w:color="000001"/>
            </w:tcBorders>
            <w:shd w:fill="auto" w:val="clear"/>
          </w:tcPr>
          <w:p>
            <w:pPr>
              <w:pStyle w:val="Normal"/>
              <w:jc w:val="right"/>
              <w:rPr/>
            </w:pPr>
            <w:r>
              <w:rPr/>
              <w:t>100</w:t>
            </w:r>
          </w:p>
        </w:tc>
        <w:tc>
          <w:tcPr>
            <w:tcW w:w="1327" w:type="dxa"/>
            <w:tcBorders>
              <w:top w:val="single" w:sz="2" w:space="0" w:color="000001"/>
              <w:bottom w:val="single" w:sz="2" w:space="0" w:color="000001"/>
              <w:insideH w:val="single" w:sz="2" w:space="0" w:color="000001"/>
            </w:tcBorders>
            <w:shd w:fill="auto" w:val="clear"/>
          </w:tcPr>
          <w:p>
            <w:pPr>
              <w:pStyle w:val="Normal"/>
              <w:jc w:val="right"/>
              <w:rPr/>
            </w:pPr>
            <w:r>
              <w:rPr/>
              <w:t>1,371</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964</Words>
  <Characters>4880</Characters>
  <CharactersWithSpaces>5740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2018-10-23T03:56:47Z</dcterms:created>
  <dc:creator/>
  <dc:description/>
  <dc:language>en-US</dc:language>
  <cp:lastModifiedBy/>
  <dcterms:modified xsi:type="dcterms:W3CDTF">2018-10-23T04:19:36Z</dcterms:modified>
  <cp:revision>3</cp:revision>
  <dc:subject/>
  <dc:title/>
</cp:coreProperties>
</file>