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Entrega 03: Comprovação do fator de ajuste do desvio padrão do sombreamento correlacionado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Ana Paula Medeiros Amarante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Universidade Federal do Rio Grande do Norte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Curso de Engenharia de Telecomunicações</w:t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05 de julho de 2020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09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Foi iniciado o trabalho da segunda parte do primeiro Hands_on, a modelagem de sombreamento, o modelo de propagação usado foi o Okumura-Hata. </w:t>
      </w:r>
    </w:p>
    <w:p w:rsidR="00000000" w:rsidDel="00000000" w:rsidP="00000000" w:rsidRDefault="00000000" w:rsidRPr="00000000" w14:paraId="0000000A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Nesta entrega foi possível observar as consequências do sombreamento descorrelacionado e do sombreamento correlacionado, que leva em consideração a posição do ponto de medição (ou usuário) e a posição das ERBs com relação aos pontos de medição. </w:t>
      </w:r>
    </w:p>
    <w:p w:rsidR="00000000" w:rsidDel="00000000" w:rsidP="00000000" w:rsidRDefault="00000000" w:rsidRPr="00000000" w14:paraId="0000000B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sombreamento é classificado como um desvanecimento de larga escala, que obedece a distribuição gaussiana, tendo dois parâmetros responsáveis pela sua caracterização, a média e o desvio padrão. </w:t>
      </w:r>
    </w:p>
    <w:p w:rsidR="00000000" w:rsidDel="00000000" w:rsidP="00000000" w:rsidRDefault="00000000" w:rsidRPr="00000000" w14:paraId="0000000C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Sendo a comprovação do fator de ajuste do desvio padrão do sombreamento correlacionado, o objetivo desta entrega.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Experimento</w:t>
      </w:r>
    </w:p>
    <w:p w:rsidR="00000000" w:rsidDel="00000000" w:rsidP="00000000" w:rsidRDefault="00000000" w:rsidRPr="00000000" w14:paraId="0000000F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Inicialmente foram plotadas as potência recebidas dos sete setores hexagonais sem e com shadowing, como pode ser visto na figura 1.</w:t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Figura 1: ERBs sem e com sombreamento descorrelacionado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3314700</wp:posOffset>
            </wp:positionH>
            <wp:positionV relativeFrom="paragraph">
              <wp:posOffset>133350</wp:posOffset>
            </wp:positionV>
            <wp:extent cx="2876550" cy="2159681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1596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203047</wp:posOffset>
            </wp:positionH>
            <wp:positionV relativeFrom="paragraph">
              <wp:posOffset>133350</wp:posOffset>
            </wp:positionV>
            <wp:extent cx="2873528" cy="2157413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3528" cy="2157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próximo passo foi a inserção do sombreamento correlacionado, este sombreamento, segue o modelo </w:t>
      </w:r>
      <m:oMath>
        <m:r>
          <w:rPr>
            <w:rFonts w:ascii="Calibri" w:cs="Calibri" w:eastAsia="Calibri" w:hAnsi="Calibri"/>
          </w:rPr>
          <m:t xml:space="preserve">X</m:t>
        </m:r>
        <m:sSub>
          <m:sSubPr>
            <m:ctrlPr>
              <w:rPr>
                <w:rFonts w:ascii="Calibri" w:cs="Calibri" w:eastAsia="Calibri" w:hAnsi="Calibri"/>
              </w:rPr>
            </m:ctrlPr>
          </m:sSubPr>
          <m:e/>
          <m:sub>
            <m:r>
              <w:rPr>
                <w:rFonts w:ascii="Calibri" w:cs="Calibri" w:eastAsia="Calibri" w:hAnsi="Calibri"/>
              </w:rPr>
              <m:t>σ</m:t>
            </m:r>
            <m:r>
              <w:rPr>
                <w:rFonts w:ascii="Calibri" w:cs="Calibri" w:eastAsia="Calibri" w:hAnsi="Calibri"/>
              </w:rPr>
              <m:t xml:space="preserve">ij</m:t>
            </m:r>
          </m:sub>
        </m:sSub>
        <m:r>
          <w:rPr>
            <w:rFonts w:ascii="Calibri" w:cs="Calibri" w:eastAsia="Calibri" w:hAnsi="Calibri"/>
          </w:rPr>
          <m:t xml:space="preserve">=</m:t>
        </m:r>
        <m:rad>
          <m:radPr>
            <m:degHide m:val="1"/>
            <m:ctrlPr>
              <w:rPr>
                <w:rFonts w:ascii="Calibri" w:cs="Calibri" w:eastAsia="Calibri" w:hAnsi="Calibri"/>
              </w:rPr>
            </m:ctrlPr>
          </m:radPr>
          <m:e>
            <m:r>
              <w:rPr>
                <w:rFonts w:ascii="Calibri" w:cs="Calibri" w:eastAsia="Calibri" w:hAnsi="Calibri"/>
              </w:rPr>
              <m:t>ρ</m:t>
            </m:r>
          </m:e>
        </m:rad>
        <m:r>
          <w:rPr>
            <w:rFonts w:ascii="Calibri" w:cs="Calibri" w:eastAsia="Calibri" w:hAnsi="Calibri"/>
          </w:rPr>
          <m:t xml:space="preserve">X</m:t>
        </m:r>
        <m:sSub>
          <m:sSubPr>
            <m:ctrlPr>
              <w:rPr>
                <w:rFonts w:ascii="Calibri" w:cs="Calibri" w:eastAsia="Calibri" w:hAnsi="Calibri"/>
              </w:rPr>
            </m:ctrlPr>
          </m:sSubPr>
          <m:e/>
          <m:sub>
            <m:r>
              <w:rPr>
                <w:rFonts w:ascii="Calibri" w:cs="Calibri" w:eastAsia="Calibri" w:hAnsi="Calibri"/>
              </w:rPr>
              <m:t xml:space="preserve">STi</m:t>
            </m:r>
          </m:sub>
        </m:sSub>
        <m:r>
          <w:rPr>
            <w:rFonts w:ascii="Calibri" w:cs="Calibri" w:eastAsia="Calibri" w:hAnsi="Calibri"/>
          </w:rPr>
          <m:t xml:space="preserve"> + </m:t>
        </m:r>
        <m:rad>
          <m:radPr>
            <m:degHide m:val="1"/>
            <m:ctrlPr>
              <w:rPr>
                <w:rFonts w:ascii="Calibri" w:cs="Calibri" w:eastAsia="Calibri" w:hAnsi="Calibri"/>
              </w:rPr>
            </m:ctrlPr>
          </m:radPr>
          <m:e>
            <m:r>
              <w:rPr>
                <w:rFonts w:ascii="Calibri" w:cs="Calibri" w:eastAsia="Calibri" w:hAnsi="Calibri"/>
              </w:rPr>
              <m:t xml:space="preserve">1-</m:t>
            </m:r>
            <m:r>
              <w:rPr>
                <w:rFonts w:ascii="Calibri" w:cs="Calibri" w:eastAsia="Calibri" w:hAnsi="Calibri"/>
              </w:rPr>
              <m:t>ρ</m:t>
            </m:r>
          </m:e>
        </m:rad>
        <m:r>
          <w:rPr>
            <w:rFonts w:ascii="Calibri" w:cs="Calibri" w:eastAsia="Calibri" w:hAnsi="Calibri"/>
          </w:rPr>
          <m:t xml:space="preserve">X</m:t>
        </m:r>
        <m:sSub>
          <m:sSubPr>
            <m:ctrlPr>
              <w:rPr>
                <w:rFonts w:ascii="Calibri" w:cs="Calibri" w:eastAsia="Calibri" w:hAnsi="Calibri"/>
              </w:rPr>
            </m:ctrlPr>
          </m:sSubPr>
          <m:e/>
          <m:sub>
            <m:r>
              <w:rPr>
                <w:rFonts w:ascii="Calibri" w:cs="Calibri" w:eastAsia="Calibri" w:hAnsi="Calibri"/>
              </w:rPr>
              <m:t xml:space="preserve">MBPij</m:t>
            </m:r>
          </m:sub>
        </m:sSub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(1), onde a primeira parcela é a componente do ambiente e a segunda parcela é a componente que depende do caminho entre receptor e transmissor (ERB e ponto de medição). </w:t>
      </w:r>
    </w:p>
    <w:p w:rsidR="00000000" w:rsidDel="00000000" w:rsidP="00000000" w:rsidRDefault="00000000" w:rsidRPr="00000000" w14:paraId="00000012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variável </w:t>
      </w:r>
      <m:oMath>
        <m:r>
          <m:t>ρ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(dAlphaCorr) é o fator de correlação que varia de 0 até 1. Sendo para 0, o sombreamento é igual para um ponto do espaço e qualquer ERB do sistema, e para 1, não existe correlação do sombreamento entre diferentes ERBs (o sombreamento de cada ERB é independente).</w:t>
      </w:r>
    </w:p>
    <w:p w:rsidR="00000000" w:rsidDel="00000000" w:rsidP="00000000" w:rsidRDefault="00000000" w:rsidRPr="00000000" w14:paraId="00000013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Foram sorteados os pontos de sombreamento para os pontos de medição e em seguida foi plotado a potência recebida com o shadowing correlacionado. O resultado pode ser visto na Figura 2. Esse cálculo foi feito a partir de dSigmaShad igual a 8 multiplicando valores aleatórios.</w:t>
      </w:r>
    </w:p>
    <w:p w:rsidR="00000000" w:rsidDel="00000000" w:rsidP="00000000" w:rsidRDefault="00000000" w:rsidRPr="00000000" w14:paraId="00000014">
      <w:pPr>
        <w:ind w:lef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770350" cy="207520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0350" cy="2075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Figura 2: ERBs com sombreamento correlacionado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Foi escrito um código para comprovar que o desvio padrão das amostras do sombreamento correlacionado tem o mesmo desvio padrão de entrada dSigmaShad, também foi comprovado que este desvio padrão independe de dAlphaCorr.</w:t>
      </w:r>
    </w:p>
    <w:p w:rsidR="00000000" w:rsidDel="00000000" w:rsidP="00000000" w:rsidRDefault="00000000" w:rsidRPr="00000000" w14:paraId="00000017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sombreamento correlacionado é calculado na matriz mtShadowingCorr que representado pelo </w:t>
      </w:r>
      <m:oMath>
        <m:r>
          <w:rPr>
            <w:rFonts w:ascii="Calibri" w:cs="Calibri" w:eastAsia="Calibri" w:hAnsi="Calibri"/>
          </w:rPr>
          <m:t xml:space="preserve">X</m:t>
        </m:r>
        <m:sSub>
          <m:sSubPr>
            <m:ctrlPr>
              <w:rPr>
                <w:rFonts w:ascii="Calibri" w:cs="Calibri" w:eastAsia="Calibri" w:hAnsi="Calibri"/>
              </w:rPr>
            </m:ctrlPr>
          </m:sSubPr>
          <m:e/>
          <m:sub>
            <m:r>
              <w:rPr>
                <w:rFonts w:ascii="Calibri" w:cs="Calibri" w:eastAsia="Calibri" w:hAnsi="Calibri"/>
              </w:rPr>
              <m:t>σ</m:t>
            </m:r>
            <m:r>
              <w:rPr>
                <w:rFonts w:ascii="Calibri" w:cs="Calibri" w:eastAsia="Calibri" w:hAnsi="Calibri"/>
              </w:rPr>
              <m:t xml:space="preserve">ij</m:t>
            </m:r>
          </m:sub>
        </m:sSub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na equação (1).  Para melhor visualização, os resultados desta entrega foram agrupados na Tabela 1.</w:t>
      </w:r>
    </w:p>
    <w:p w:rsidR="00000000" w:rsidDel="00000000" w:rsidP="00000000" w:rsidRDefault="00000000" w:rsidRPr="00000000" w14:paraId="00000018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2460"/>
        <w:gridCol w:w="2278"/>
        <w:gridCol w:w="2278"/>
        <w:tblGridChange w:id="0">
          <w:tblGrid>
            <w:gridCol w:w="2010"/>
            <w:gridCol w:w="2460"/>
            <w:gridCol w:w="2278"/>
            <w:gridCol w:w="2278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dAlphaCorr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m:oMath>
              <m:r>
                <m:t>σ</m:t>
              </m:r>
            </m:oMath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 mtShadowingCorr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dSgmaShad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 percentual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7.9378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0.78 %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7.8269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2.16%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8.018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0.2%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8.211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2.63%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7.9209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0.99%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7.9257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0.93%</w:t>
            </w:r>
          </w:p>
        </w:tc>
      </w:tr>
    </w:tbl>
    <w:p w:rsidR="00000000" w:rsidDel="00000000" w:rsidP="00000000" w:rsidRDefault="00000000" w:rsidRPr="00000000" w14:paraId="0000003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Tabela 1: Desvio padrão de mtShadowingCorr para diferentes valores do fator de correlação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Conclusão</w:t>
      </w:r>
    </w:p>
    <w:p w:rsidR="00000000" w:rsidDel="00000000" w:rsidP="00000000" w:rsidRDefault="00000000" w:rsidRPr="00000000" w14:paraId="0000003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O erro percentual apresentado na Tabela 1 não passou de 3%, provando que o desvio padrão das amostras do sombreamento correlacionado tem o mesmo desvio padrão de entrada dSigmaShad. </w:t>
      </w:r>
    </w:p>
    <w:p w:rsidR="00000000" w:rsidDel="00000000" w:rsidP="00000000" w:rsidRDefault="00000000" w:rsidRPr="00000000" w14:paraId="0000003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Diferente da entrega 01, que a teoria era simples de entender e a organização do código que foi um pouco confusa, aqui a situação se inverteu. O desvio padrão foi calculado por uma função pronta do matlab, enquanto que a teoria do sombreamento correlacionado foi quem exigiu maior atenção e dedicação para entender o código já pronto.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Referências</w:t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[1] RAPPAORT, Theodore S.; Comunicações sem Fio - Princípios e Práticas; Prentice Hall; 2009.</w:t>
      </w:r>
      <w:r w:rsidDel="00000000" w:rsidR="00000000" w:rsidRPr="00000000">
        <w:rPr>
          <w:rtl w:val="0"/>
        </w:rPr>
      </w:r>
    </w:p>
    <w:sectPr>
      <w:footerReference r:id="rId9" w:type="default"/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