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03: Modelagem do Sombreamento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iniciado o trabalho da segunda parte do primeiro Hands_on, a modelagem de sombreamento, o modelo de propagação usado foi o Okumura-Hata.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Nesta entrega foi possível observar as consequências do sombreamento descorrelacionado e do sombreamento correlacionado, que leva em consideração a posição do ponto de medição (ou usuário) e a posição das ERBs com relação aos pontos de medição.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é classificado como um desvanecimento de larga escala, que obedece a distribuição gaussiana, tendo dois parâmetros responsáveis pela sua caracterização, a média e o desvio padrão. 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a comprovação do fator de ajuste do desvio padrão do sombreamento correlacionado, o objetivo desta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Inicialmente foram plotadas as potência recebidas dos sete setores hexagonais sem e com shadowing, como pode ser visto na figura 1.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ERBs sem e com sombreamento descorrelacionado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133350</wp:posOffset>
            </wp:positionV>
            <wp:extent cx="2876550" cy="215968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9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203047</wp:posOffset>
            </wp:positionH>
            <wp:positionV relativeFrom="paragraph">
              <wp:posOffset>133350</wp:posOffset>
            </wp:positionV>
            <wp:extent cx="2873528" cy="21574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528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 inserção do sombreamento correlacionado, este sombreamento, segue o modelo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  <m:r>
          <w:rPr>
            <w:rFonts w:ascii="Calibri" w:cs="Calibri" w:eastAsia="Calibri" w:hAnsi="Calibri"/>
          </w:rPr>
          <m:t xml:space="preserve">=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STi</m:t>
            </m:r>
          </m:sub>
        </m:sSub>
        <m:r>
          <w:rPr>
            <w:rFonts w:ascii="Calibri" w:cs="Calibri" w:eastAsia="Calibri" w:hAnsi="Calibri"/>
          </w:rPr>
          <m:t xml:space="preserve"> + 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 xml:space="preserve">1-</m:t>
            </m:r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MBPij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(1), onde a primeira parcela é a componente do ambiente e a segunda parcela é a componente que depende do caminho entre receptor e transmissor (ERB e ponto de medição). 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variável </w:t>
      </w:r>
      <m:oMath>
        <m:r>
          <m:t>ρ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(dAlphaCorr) é o fator de correlação que varia de 0 até 1. Sendo para 0, o sombreamento é igual para um ponto do espaço e qualquer ERB do sistema, e para 1, não existe correlação do sombreamento entre diferentes ERBs (o sombreamento de cada ERB é independente).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Foram sorteados os pontos de sombreamento para os pontos de medição e em seguida foi plotado a potência recebida com o shadowing correlacionado. O resultado pode ser visto na Figura 2. Esse cálculo foi feito a partir de dSigmaShad igual a 8 multiplicando valores aleatórios.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70350" cy="2075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207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ERBs com sombreamento correlacionado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escrito um código para comprovar que o desvio padrão das amostras do sombreamento correlacionado tem o mesmo desvio padrão de entrada dSigmaShad, também foi comprovado que este desvio padrão independe de dAlphaCorr.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correlacionado é calculado na matriz mtShadowingCorr que representado pelo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na equação (1).  Para melhor visualização, os resultados desta entrega foram agrupados na Tabela 1.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460"/>
        <w:gridCol w:w="2278"/>
        <w:gridCol w:w="2278"/>
        <w:tblGridChange w:id="0">
          <w:tblGrid>
            <w:gridCol w:w="2010"/>
            <w:gridCol w:w="2460"/>
            <w:gridCol w:w="2278"/>
            <w:gridCol w:w="227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dAlphaCorr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mtShadowingCorr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dSgmaShad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 percentual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7.9378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7.8269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2.63%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0.93%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Desvio padrão de mtShadowingCorr para diferentes valores do fator de 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erro percentual apresentado na Tabela 1 não passou de 3%, provando que o desvio padrão das amostras do sombreamento correlacionado tem o mesmo desvio padrão de entrada dSigmaShad. 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Diferente da entrega 01, que a teoria era simples de entender e a organização do código que foi um pouco confusa, aqui a situação se inverteu. O desvio padrão foi calculado por uma função pronta do matlab, enquanto que a teoria do sombreamento correlacionado foi quem exigiu maior atenção e dedicação para entender o código já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RAPPAORT, Theodore S.; Comunicações sem Fio - Princípios e Práticas; Prentice Hall; 2009.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