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Entrega 01: Modelagem da Taxa de Pico de Sistemas Modernos de Comunicação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 Paula Medeiros Amarante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Universidade Federal do Rio Grande do Norte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Curso de Engenharia de Telecomunicações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26 de julho de 2020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Os sistemas de comunicações definidos pelo 3rd Generation Partnership Project (3GPP), possuem diferentes forma de calcular a Taxa de Pico de acordo com os respectivos Releases de cada geração. O objetivo deste trabalho foi proporcionar a prototipagem das camadas MAC/PHY com o Release 10 do Long Term Evolution (LTE), o 4G, por meio de uma interface gráfica com o MATLAB. Carrier Aggregation (CA) é a novidade deste Release.</w:t>
      </w:r>
    </w:p>
    <w:p w:rsidR="00000000" w:rsidDel="00000000" w:rsidP="00000000" w:rsidRDefault="00000000" w:rsidRPr="00000000" w14:paraId="0000000A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calcular a taxa de transmissão, é necessário saber o valor da MCS (Modulation and Coding Scheme), responsável pela modulação e taxa de codificação. </w:t>
      </w:r>
    </w:p>
    <w:p w:rsidR="00000000" w:rsidDel="00000000" w:rsidP="00000000" w:rsidRDefault="00000000" w:rsidRPr="00000000" w14:paraId="0000000B">
      <w:pPr>
        <w:ind w:left="0" w:firstLine="72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MCS, por sua vez, é mapeada por meio do CQI (Channel Quality Indicator) index, que tem um valor diferente para cada Signal to Interference-Plus-Noise Ratio (SINR). O mapeamento do SINR em CQI index está mostrado na Tabela 1, esse mapeamento não é definido pelo 3GPP. </w:t>
      </w:r>
      <w:r w:rsidDel="00000000" w:rsidR="00000000" w:rsidRPr="00000000">
        <w:rPr>
          <w:rFonts w:ascii="Calibri" w:cs="Calibri" w:eastAsia="Calibri" w:hAnsi="Calibri"/>
          <w:sz w:val="18"/>
          <w:szCs w:val="18"/>
        </w:rPr>
        <w:drawing>
          <wp:inline distB="114300" distT="114300" distL="114300" distR="114300">
            <wp:extent cx="5847150" cy="3746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715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Tabela 1: Mapeamento do SNR para o CQI index [4]</w:t>
      </w:r>
    </w:p>
    <w:p w:rsidR="00000000" w:rsidDel="00000000" w:rsidP="00000000" w:rsidRDefault="00000000" w:rsidRPr="00000000" w14:paraId="0000000D">
      <w:pPr>
        <w:ind w:firstLine="72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partir do mapeamento feito na Tabela 1, é possível vincular o CQI index com o MCS index. Isto é feito por meio da Tabela 2, neste caso está sendo usado uma patente.</w:t>
      </w:r>
    </w:p>
    <w:p w:rsidR="00000000" w:rsidDel="00000000" w:rsidP="00000000" w:rsidRDefault="00000000" w:rsidRPr="00000000" w14:paraId="0000000F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291138" cy="374904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6680" l="2931" r="0" t="5219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3749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Tabela 2: Mapeamento do CQI index para o MCS index [5]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 estes dois pontos, foi possível montar a tabela definida como “MCS_Mod_CodRate.csv”, onde a modulação e a taxa de pico foram mapeadas de acordo com o MCS index.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Experimento</w:t>
      </w:r>
    </w:p>
    <w:p w:rsidR="00000000" w:rsidDel="00000000" w:rsidP="00000000" w:rsidRDefault="00000000" w:rsidRPr="00000000" w14:paraId="00000019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próxima etapa é trabalhar com as tabelas definidas pelo 3GPP. A primeira é responsável por mapear o TBS index, a tabela 7.1.7.1-1 em [1]. Esta tabela foi definida  como “MCS_TBS.csv”.</w:t>
      </w:r>
    </w:p>
    <w:p w:rsidR="00000000" w:rsidDel="00000000" w:rsidP="00000000" w:rsidRDefault="00000000" w:rsidRPr="00000000" w14:paraId="0000001A">
      <w:pPr>
        <w:ind w:firstLine="72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531908" cy="28908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908" cy="2890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Tabela 3: Mapeamento do MCS index para o TBS index [1]</w:t>
      </w:r>
    </w:p>
    <w:p w:rsidR="00000000" w:rsidDel="00000000" w:rsidP="00000000" w:rsidRDefault="00000000" w:rsidRPr="00000000" w14:paraId="0000001C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É possível verificar que a Tabela 3 está contida na Tabela 2, confirmando que a patente [5] foi criada de acordo com as definições do 3GPP. </w:t>
      </w:r>
    </w:p>
    <w:p w:rsidR="00000000" w:rsidDel="00000000" w:rsidP="00000000" w:rsidRDefault="00000000" w:rsidRPr="00000000" w14:paraId="0000001D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número de PRBs é calculado a partir do valor da banda, retirando 10% desse valor para guarda de banda e o valor de banda efetiva é divido por 180KHz. Logo, temos para 1.4MHz são 6 PRBs, 3MHz são 15 PRBs, 5Mhz são 25 PRBs, 10MHz são 50 PRBs e para 20MHz são 100 PRBs [3]. </w:t>
      </w:r>
    </w:p>
    <w:p w:rsidR="00000000" w:rsidDel="00000000" w:rsidP="00000000" w:rsidRDefault="00000000" w:rsidRPr="00000000" w14:paraId="0000001E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Neste ponto, com o valor TBS e o número de PRBs, é hora de trabalhar com a próxima tabela, a 7.1.7.2.1-1 de [1]. Esta tabela é a “TBS_PRB.csv”. Devido as suas dimensões, está mostrado apenas a parte inicial da tabela neste relatório, no código está completa.</w:t>
      </w:r>
    </w:p>
    <w:p w:rsidR="00000000" w:rsidDel="00000000" w:rsidP="00000000" w:rsidRDefault="00000000" w:rsidRPr="00000000" w14:paraId="0000001F">
      <w:pPr>
        <w:ind w:firstLine="72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558188" cy="424769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8188" cy="4247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Tabela 4: Mapeamento do número de bits, de acordo com TBS index e o número de PRBs 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Agora, é possível fazer o cálculo da taxa de pico pelas tabelas. Isto é feito a partir da Tabela 3, que faz o mapeamento entre as MCS index e o Transport Block Size (TBS) index. De posse dos números de PRBs e o TBS, se consegue o número de bits que pode ser transmitido em 1 TTI (=1ms). Logo, o cálculo pela tabela pode ser feito da seguinte forma: </w:t>
      </w:r>
    </w:p>
    <w:p w:rsidR="00000000" w:rsidDel="00000000" w:rsidP="00000000" w:rsidRDefault="00000000" w:rsidRPr="00000000" w14:paraId="00000023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</w:t>
      </w:r>
      <m:oMath>
        <m:r>
          <w:rPr>
            <w:rFonts w:ascii="Calibri" w:cs="Calibri" w:eastAsia="Calibri" w:hAnsi="Calibri"/>
          </w:rPr>
          <m:t xml:space="preserve">Tput = Nbits*CP/7*MIMO*CA*0.001                                      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  (1)</w:t>
      </w:r>
    </w:p>
    <w:p w:rsidR="00000000" w:rsidDel="00000000" w:rsidP="00000000" w:rsidRDefault="00000000" w:rsidRPr="00000000" w14:paraId="00000024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Onde Nbits, é calculado a partir da Tabela 4; o Cyclic Prefix é representado por CP  (normal ou estendido); MIMO e CA também são entradas, que representam, respectivamente, o número de antenas MIMO e o número de Carrier Aggregation.</w:t>
      </w:r>
    </w:p>
    <w:p w:rsidR="00000000" w:rsidDel="00000000" w:rsidP="00000000" w:rsidRDefault="00000000" w:rsidRPr="00000000" w14:paraId="00000025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calcular a taxa de transmissão pela fórmula, temos as mesmas entradas para a equação (1). Sabendo que o overhead ocupa 25% da transmissão; 12 é o número de subportadoras em frequência dentro de um RB; a modulação é representada por Modulation = log2(M), com M sendo os valores para distintas amplitudes e a taxa de codificação é calculada por meio da variável CodRate. Temos que: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</w:t>
      </w:r>
      <m:oMath>
        <m:r>
          <w:rPr>
            <w:rFonts w:ascii="Calibri" w:cs="Calibri" w:eastAsia="Calibri" w:hAnsi="Calibri"/>
          </w:rPr>
          <m:t xml:space="preserve">Tput = CP*PRBs*MIMO*CA*0.75* 12*Modulation*CodRate/0.5*0.001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           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28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 estas etapas realizadas, foi hora de implementar o código preparado anteriormente, na interface guide do MATLAB. Como pode ser visto na Figura 1, o cálculo entre a equação e tabela não deram valores iguais, mas ainda assim, apresentam resultados próximos, o que permite validar o experimento de prototipagem da calculadora de taxa de pico para o LTE Release 10.</w:t>
      </w:r>
    </w:p>
    <w:p w:rsidR="00000000" w:rsidDel="00000000" w:rsidP="00000000" w:rsidRDefault="00000000" w:rsidRPr="00000000" w14:paraId="00000029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424238" cy="229292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2292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B">
      <w:pPr>
        <w:ind w:firstLine="72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Figura 1: Calculadora do LTE Release 10</w:t>
      </w:r>
    </w:p>
    <w:p w:rsidR="00000000" w:rsidDel="00000000" w:rsidP="00000000" w:rsidRDefault="00000000" w:rsidRPr="00000000" w14:paraId="0000002C">
      <w:pPr>
        <w:ind w:firstLine="72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do vídeo: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http://youtu.be/Pp7XiNQKCC4?hd=1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30">
      <w:pPr>
        <w:spacing w:after="10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[1] ETSI.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LTE; Evolved Universal Terrestrial Radio Access (E-UTRA); Physical layer procedures (3GPP TS 36.213 version 10.1.0 Release 10)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Disponível em: https://www.etsi.org/deliver/etsi_ts/136200_136299/136213/10.01.00_60/ts_136213v100100p.pdf. Acesso em: 22 jul. 2020.</w:t>
      </w:r>
    </w:p>
    <w:p w:rsidR="00000000" w:rsidDel="00000000" w:rsidP="00000000" w:rsidRDefault="00000000" w:rsidRPr="00000000" w14:paraId="00000031">
      <w:pPr>
        <w:spacing w:after="10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[2] SIMPLE TECH POST.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Transport Block Size, Throughput and Code rate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Disponível em: http://www.simpletechpost.com/2012/12/transport-block-size-code-rate-protocol.html. Acesso em: 21 jul. 2020.</w:t>
      </w:r>
    </w:p>
    <w:p w:rsidR="00000000" w:rsidDel="00000000" w:rsidP="00000000" w:rsidRDefault="00000000" w:rsidRPr="00000000" w14:paraId="00000032">
      <w:pPr>
        <w:spacing w:after="10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[3] REKHI, P. K.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et 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Throughput Calculation for LTE TDD and FDD Systems.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White Paper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p. 3-10, dez./2012. Disponível em: https://pt.slideshare.net/veermalik121/throughput-calculation-for-lte-tdd-and-fdd-system. Acesso em: 22 jul. 2020.</w:t>
      </w:r>
    </w:p>
    <w:p w:rsidR="00000000" w:rsidDel="00000000" w:rsidP="00000000" w:rsidRDefault="00000000" w:rsidRPr="00000000" w14:paraId="00000033">
      <w:pPr>
        <w:spacing w:after="10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[4] WANG, Kun.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Ricean K-factor Estimation based on Channel Quality Indicator in OFDM Systems using Neural Network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v. 1808.06537, p. 3-3, ago./2018. Disponível em: https://arxiv.org/pdf/1808.06537.pdf. Acesso em: 23 jul. 2020.</w:t>
      </w:r>
    </w:p>
    <w:p w:rsidR="00000000" w:rsidDel="00000000" w:rsidP="00000000" w:rsidRDefault="00000000" w:rsidRPr="00000000" w14:paraId="00000034">
      <w:pPr>
        <w:spacing w:after="10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[5] PATSNAP.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Patent Analysis of User terminal, radio base station and adaptive modulation and coding method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Disponível em: https://patents.patsnap.com/v/US10136451-user-terminal-radio-base-station-and-adaptive-modulation-and-coding-method.html. Acesso em: 23 jul. 2020.</w:t>
      </w:r>
    </w:p>
    <w:p w:rsidR="00000000" w:rsidDel="00000000" w:rsidP="00000000" w:rsidRDefault="00000000" w:rsidRPr="00000000" w14:paraId="00000035">
      <w:pPr>
        <w:spacing w:after="10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[6] MATHWORKS.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Csvread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Disponível em: https://www.mathworks.com/help/matlab/ref/csvread.html. Acesso em: 25 jul. 2020.</w:t>
      </w:r>
    </w:p>
    <w:p w:rsidR="00000000" w:rsidDel="00000000" w:rsidP="00000000" w:rsidRDefault="00000000" w:rsidRPr="00000000" w14:paraId="00000036">
      <w:pPr>
        <w:spacing w:after="100" w:before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[7]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MELISSA WEBER MENDONÇA, UFSC. MATLAB Avançado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Disponível em: http://mtm.ufsc.br/~melissa/arquivos/matlabpet/aula_01.pdf. Acesso em: 25 jul. 2020.</w:t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6838" w:w="11906"/>
      <w:pgMar w:bottom="1231.77165354331" w:top="1440.0000000000002" w:left="1440.0000000000002" w:right="1257.401574803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youtu.be/Pp7XiNQKCC4?hd=1" TargetMode="Externa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