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mcuif_CheckCrcOnAdcRegistersAutotest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mcuif_AdcSwTestRegCrcVerif(uint32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mcuif_AdcSwTestRegCrc()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mcuif_u32AdcCrcInitOutput[4]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mcuif_u32AdcCrcRuntimeOutput[4]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mcuif_AdcSwTestRegCrc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mcuif_AdcSwTestRegCrc() {
                      <w:br/>
	$case 1.2 {
                      <w:br/>
                      		return KU8_ATM_TEST_NOK;
                      <w:br/>
                      	}
                      <w:br/>
	return KU8_ATM_TEST_OK;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4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mcuif_CheckCrcOnAdcRegistersAutotest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mcuif_CheckCrcOnAdcRegistersAutotest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