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CIL_cbk_CheckImplausibleData_Presafe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CIL_Autotest_CheckImplausibleData_Presafe(u8TestResultType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Callback of CIL_Autotest_CheckImplausibleData_Presafe AutoTest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CIL_cbk_CheckImplausibleData_Presafe()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CIL_cbk_CheckImplausibleData_Presafe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CIL_cbk_CheckImplausibleData_Presafe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