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EOL_Get_Obsolescence_Data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$(PROJECTROOT)\tessy\persist\tessy\project\00000419\000007d4\.database\.tdb\00000816\testSpecification.ctex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5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VStdLib_MemCpy(void *,const void *,VStdLib_CntType)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Impl_Obsolescense_Data eol_stObsolescenseData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Haptic_Warning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PRE_SAFE_LVL_4_5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PRE_CRASH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Impl_Obsolescense_Data * pObsData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BSR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Haptic_Warning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PRE_SAFE_LVL_4_5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Impl_Current_and_Threshold PRE_CRASH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Current_Value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Threshold_Green_to_Yellow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Threshold_Yellow_to_Red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9" w:name="__bookmark_21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0" w:name="__TOC_70"/>
          <w:bookmarkEnd w:id="10"/>
          <w:p>
            <w:rPr>
              <w:vanish/>
            </w:rPr>
            <w:bookmarkStart w:id="11" w:name="_TocTest Specification"/>
            <w:bookmarkEnd w:id="11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1" w:name="__bookmark_25"/>
    <w:bookmarkEnd w:id="11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2" w:name="__bookmark_26"/>
          <w:bookmarkEnd w:id="12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VStdLib_MemCpy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bookmarkStart w:id="13" w:name="__bookmark_28"/>
          <w:bookmarkEnd w:id="1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Definitions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const CALIB_BLOCK_ID_EOL_PARAM_StorageType CALIB_BLOCK_ID_EOL_PARAM_RomBlockData =
                      <w:br/>
                      		{ 60000, 10000, 1500, 200, 50, 0x001C0000, 0x00A00003, 0x0000001C,
                      <w:br/>
                      				0x00000060, 0 };
                    </w:t>
                  </w: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4" w:name="__bookmark_31"/>
    <w:bookmarkEnd w:id="14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AAUT_EOL_0018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"High end of life" is reachedCheck if "High end of life" is reached</w:t>
                  </w:r>
                </w:p>
              </w:tc>
            </w:tr>
          </w:tbl>
          <w:bookmarkStart w:id="15" w:name="__bookmark_35"/>
          <w:bookmarkEnd w:id="15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1): Autotest failed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6" w:name="__bookmark_38"/>
                <w:bookmarkEnd w:id="1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pObsData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7" w:name="__bookmark_39"/>
                <w:bookmarkEnd w:id="1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AAUT_EOL_0019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Specification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Covers: DSG_EOL_0007</w:t>
                  </w:r>
                </w:p>
              </w:tc>
            </w:tr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if "High end of life" is reached</w:t>
                  </w:r>
                </w:p>
              </w:tc>
            </w:tr>
          </w:tbl>
          <w:bookmarkStart w:id="18" w:name="__bookmark_48"/>
          <w:bookmarkEnd w:id="18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1): Autotest passed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9" w:name="__bookmark_51"/>
                <w:bookmarkEnd w:id="1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pObsData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20" w:name="__bookmark_52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eol_stObsolescenseData.BSR.Threshold_Yellow_to_Red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eol_stObsolescenseData.Haptic_Warning.Threshold_Yellow_to_Red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eol_stObsolescenseData.PRE_SAFE_LVL_4_5.Current_Value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eol_stObsolescenseData.PRE_SAFE_LVL_4_5.Threshold_Green_to_Yellow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eol_stObsolescenseData.PRE_SAFE_LVL_4_5.Threshold_Yellow_to_Red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eol_stObsolescenseData.PRE_CRASH.Current_Value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eol_stObsolescenseData.PRE_CRASH.Threshold_Green_to_Yellow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eol_stObsolescenseData.PRE_CRASH.Threshold_Yellow_to_Red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21" w:name="__bookmark_59"/>
          <w:bookmarkEnd w:id="21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1.1.1.9.2.24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$(SOURCEROOT)\EOL\Implementation\src\EOL_autotests.c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1.1.1.2.3.5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 -I$(SOURCEROOT)\EOL\Implementation\inc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EOL_Get_Obsolescence_Data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EOL_Get_Obsolescence_Data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2024-02-20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3" type="#_x0000_t10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