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PMP_runGetBatteryVoltage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'PMP_runGetBatteryVoltage'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updates the battery voltage every 1ms.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DSG_PMP_0016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9922" w:type="dxa"/>
                        <w:gridSpan w:val="2"/>
                        <w:vMerge w:val="restart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tbl>
                        <w:tblPr>
                          <w:tblInd w:w="0" w:type="dxa"/>
                          <w:tblStyle w:val="TableGrid"/>
                          <w:tblOverlap w:val="Never"/>
                          <w:tblW w:w="9922" w:type="dxa"/>
                          <w:tblLook w:val="01E0"/>
                          <w:tblLayout w:type="fixed"/>
                          <w:tblBorders/>
                        </w:tblPr>
                        <w:tblGrid>
                          <w:gridCol w:val="1190"/>
                          <w:gridCol w:val="8732"/>
                        </w:tblGrid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Specification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Courier" w:eastAsia="Courier" w:hAnsi="Courier" w:cs="Courier"/>
                                  <w:sz w:val="12"/>
                                  <w:szCs w:val="12"/>
                                  <w:spacing w:val="0"/>
                                </w:rPr>
                                <w:t xml:space="preserve">COVERS: DSG_PMP_0016</w:t>
                              </w:r>
                            </w:p>
                          </w:tc>
                        </w:tr>
                        <w:tr>
                          <w:trPr/>
                          <w:tc>
                            <w:tcPr>
                              <w:tcW w:w="1190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  <w:b w:val="on"/>
                                  <w:bCs w:val="on"/>
                                </w:rPr>
                                <w:t xml:space="preserve">Description</w:t>
                              </w:r>
                            </w:p>
                          </w:tc>
                          <w:tc>
                            <w:tcPr>
                              <w:tcW w:w="8732" w:type="dxa"/>
                              <w:shd w:val="clear" w:color="auto" w:fill="ffffff"/>
                              <w:tcBorders/>
                              <w:tcMar>
                                <w:bottom w:w="0" w:type="dxa"/>
                                <w:left w:w="0" w:type="dxa"/>
                                <w:top w:w="0" w:type="dxa"/>
                                <w:right w:w="0" w:type="dxa"/>
                              </w:tcMar>
                              <w:vAlign w:val="baseline"/>
                              <w:noWrap w:val="off"/>
                            </w:tcPr>
                            <w:p>
                              <w:pPr>
                                <w:pBdr/>
                                <w:bidi w:val="off"/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rFonts w:ascii="Arial" w:eastAsia="Arial" w:hAnsi="Arial" w:cs="Arial"/>
                                  <w:sz w:val="14"/>
                                  <w:szCs w:val="14"/>
                                  <w:spacing w:val="0"/>
                                </w:rPr>
                                <w:t xml:space="preserve">The battery voltage is calculated based on ADC value.</w:t>
                              </w:r>
                            </w:p>
                          </w:tc>
                        </w:tr>
                      </w:tbl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target_pu16Voltage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4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PMP_runGetBatteryVoltage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