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12D4F3" w14:textId="42FD9C98" w:rsidR="000905A1" w:rsidRPr="000905A1" w:rsidRDefault="000905A1" w:rsidP="0080741C">
      <w:pPr>
        <w:spacing w:after="100"/>
        <w:rPr>
          <w:rFonts w:ascii="Consolas" w:hAnsi="Consolas"/>
          <w:sz w:val="20"/>
          <w:szCs w:val="20"/>
          <w:lang w:val="en-US"/>
        </w:rPr>
      </w:pPr>
      <w:r w:rsidRPr="000905A1">
        <w:rPr>
          <w:rFonts w:ascii="Consolas" w:hAnsi="Consolas"/>
          <w:b/>
          <w:bCs/>
          <w:sz w:val="20"/>
          <w:szCs w:val="20"/>
          <w:lang w:val="en-US"/>
        </w:rPr>
        <w:t>Subject:</w:t>
      </w:r>
      <w:r w:rsidRPr="000905A1">
        <w:rPr>
          <w:rFonts w:ascii="Consolas" w:hAnsi="Consolas"/>
          <w:sz w:val="20"/>
          <w:szCs w:val="20"/>
          <w:lang w:val="en-US"/>
        </w:rPr>
        <w:t xml:space="preserve"> "Normayaratma arxivi" Elektron Axtarış Sistemi</w:t>
      </w:r>
    </w:p>
    <w:p w14:paraId="2A719DFD" w14:textId="6B503083" w:rsidR="000905A1" w:rsidRPr="000905A1" w:rsidRDefault="000905A1" w:rsidP="0080741C">
      <w:pPr>
        <w:spacing w:after="100"/>
        <w:rPr>
          <w:rFonts w:ascii="Consolas" w:hAnsi="Consolas"/>
          <w:sz w:val="20"/>
          <w:szCs w:val="20"/>
        </w:rPr>
      </w:pPr>
      <w:r w:rsidRPr="000905A1">
        <w:rPr>
          <w:rFonts w:ascii="Consolas" w:hAnsi="Consolas"/>
          <w:sz w:val="20"/>
          <w:szCs w:val="20"/>
        </w:rPr>
        <w:t>Hörmətli</w:t>
      </w:r>
      <w:r w:rsidR="00282ECE">
        <w:rPr>
          <w:rFonts w:ascii="Consolas" w:hAnsi="Consolas"/>
          <w:sz w:val="20"/>
          <w:szCs w:val="20"/>
        </w:rPr>
        <w:t xml:space="preserve"> _____________</w:t>
      </w:r>
      <w:r w:rsidRPr="000905A1">
        <w:rPr>
          <w:rFonts w:ascii="Consolas" w:hAnsi="Consolas"/>
          <w:sz w:val="20"/>
          <w:szCs w:val="20"/>
        </w:rPr>
        <w:t>,</w:t>
      </w:r>
    </w:p>
    <w:p w14:paraId="09806F65" w14:textId="31E5A9F3" w:rsidR="009D5369" w:rsidRDefault="000905A1" w:rsidP="004D0295">
      <w:pPr>
        <w:tabs>
          <w:tab w:val="left" w:pos="284"/>
          <w:tab w:val="left" w:pos="993"/>
        </w:tabs>
        <w:spacing w:after="100"/>
        <w:jc w:val="both"/>
        <w:rPr>
          <w:rFonts w:ascii="Consolas" w:hAnsi="Consolas"/>
          <w:sz w:val="20"/>
          <w:szCs w:val="20"/>
        </w:rPr>
      </w:pPr>
      <w:r w:rsidRPr="000905A1">
        <w:rPr>
          <w:rFonts w:ascii="Consolas" w:hAnsi="Consolas"/>
          <w:sz w:val="20"/>
          <w:szCs w:val="20"/>
        </w:rPr>
        <w:t xml:space="preserve">Bildirirəm ki, HEQT Mərkəzi tərəfindən Nizamnaməsinin 3.1.15-ci yarımbəndinin </w:t>
      </w:r>
      <w:r w:rsidRPr="009316DA">
        <w:rPr>
          <w:rFonts w:ascii="Consolas" w:hAnsi="Consolas"/>
          <w:i/>
          <w:iCs/>
          <w:color w:val="747474" w:themeColor="background2" w:themeShade="80"/>
          <w:sz w:val="20"/>
          <w:szCs w:val="20"/>
        </w:rPr>
        <w:t>(hüquqi aktlardan, elmi-hüquqi materiallardan ibarət olan çoxfunksiyalı axtarış imkanını nəzərdə tutan elektron informasiya sistemini yaratmaq və həmin sistemdəki məlumatların müntəzəm olaraq yenilənməsini təmin etmək və bu məlumatları müqavilə əsasında dövlət orqanlarına (qurumlarına), yerli özünüidarəetmə orqanlarına, hüquqi və fiziki şəxslərə təqdim etmək)</w:t>
      </w:r>
      <w:r w:rsidRPr="000905A1">
        <w:rPr>
          <w:rFonts w:ascii="Consolas" w:hAnsi="Consolas"/>
          <w:i/>
          <w:iCs/>
          <w:sz w:val="20"/>
          <w:szCs w:val="20"/>
        </w:rPr>
        <w:t xml:space="preserve"> </w:t>
      </w:r>
      <w:r w:rsidRPr="000905A1">
        <w:rPr>
          <w:rFonts w:ascii="Consolas" w:hAnsi="Consolas"/>
          <w:sz w:val="20"/>
          <w:szCs w:val="20"/>
        </w:rPr>
        <w:t xml:space="preserve">icrası məqsədilə müvafiq elektron axtarış sisteminin yaradılması ilə əlaqədar keçiriləcək satınalma proseduru üçün texniki tapşırığın hazırlanması işi aparılır. Bununla əlaqədar aparılmış daxili müzakirələr nəticəsində aşağıdakı funksionallığa malik </w:t>
      </w:r>
      <w:bookmarkStart w:id="0" w:name="_Hlk183172445"/>
      <w:bookmarkStart w:id="1" w:name="_Hlk183186354"/>
      <w:r w:rsidRPr="000905A1">
        <w:rPr>
          <w:rFonts w:ascii="Consolas" w:hAnsi="Consolas"/>
          <w:b/>
          <w:bCs/>
          <w:sz w:val="20"/>
          <w:szCs w:val="20"/>
        </w:rPr>
        <w:t>“Normayaratma  arxivi”</w:t>
      </w:r>
      <w:bookmarkEnd w:id="0"/>
      <w:r w:rsidRPr="000905A1">
        <w:rPr>
          <w:rFonts w:ascii="Consolas" w:hAnsi="Consolas"/>
          <w:sz w:val="20"/>
          <w:szCs w:val="20"/>
        </w:rPr>
        <w:t xml:space="preserve"> elektron sisteminin yaradılması </w:t>
      </w:r>
      <w:bookmarkEnd w:id="1"/>
      <w:r w:rsidRPr="000905A1">
        <w:rPr>
          <w:rFonts w:ascii="Consolas" w:hAnsi="Consolas"/>
          <w:sz w:val="20"/>
          <w:szCs w:val="20"/>
        </w:rPr>
        <w:t>təklif edilir:</w:t>
      </w:r>
    </w:p>
    <w:p w14:paraId="1A7C9FBC" w14:textId="77777777" w:rsidR="00E75ED2" w:rsidRPr="000905A1" w:rsidRDefault="00E75ED2" w:rsidP="0080741C">
      <w:pPr>
        <w:tabs>
          <w:tab w:val="left" w:pos="993"/>
        </w:tabs>
        <w:spacing w:after="100"/>
        <w:jc w:val="both"/>
        <w:rPr>
          <w:rFonts w:ascii="Consolas" w:hAnsi="Consolas"/>
          <w:sz w:val="20"/>
          <w:szCs w:val="20"/>
        </w:rPr>
      </w:pPr>
    </w:p>
    <w:p w14:paraId="58CA000A" w14:textId="77777777" w:rsidR="000905A1" w:rsidRPr="000905A1" w:rsidRDefault="000905A1" w:rsidP="004D0295">
      <w:pPr>
        <w:numPr>
          <w:ilvl w:val="0"/>
          <w:numId w:val="1"/>
        </w:numPr>
        <w:spacing w:after="100"/>
        <w:ind w:left="357" w:hanging="357"/>
        <w:jc w:val="both"/>
        <w:rPr>
          <w:rFonts w:ascii="Consolas" w:hAnsi="Consolas"/>
          <w:sz w:val="20"/>
          <w:szCs w:val="20"/>
        </w:rPr>
      </w:pPr>
      <w:r w:rsidRPr="000905A1">
        <w:rPr>
          <w:rFonts w:ascii="Consolas" w:hAnsi="Consolas"/>
          <w:sz w:val="20"/>
          <w:szCs w:val="20"/>
        </w:rPr>
        <w:t>Müvafiq elektron sistem Mərkəzin veb-saytında (ayrıca “Normayaratma  arxivi” adlı bölmədə) fəaliyyət göstərəcək.</w:t>
      </w:r>
    </w:p>
    <w:p w14:paraId="58705B58" w14:textId="77777777" w:rsidR="000905A1" w:rsidRPr="000905A1" w:rsidRDefault="000905A1" w:rsidP="004D0295">
      <w:pPr>
        <w:numPr>
          <w:ilvl w:val="0"/>
          <w:numId w:val="1"/>
        </w:numPr>
        <w:spacing w:after="100"/>
        <w:ind w:left="360"/>
        <w:jc w:val="both"/>
        <w:rPr>
          <w:rFonts w:ascii="Consolas" w:hAnsi="Consolas"/>
          <w:sz w:val="20"/>
          <w:szCs w:val="20"/>
        </w:rPr>
      </w:pPr>
      <w:r w:rsidRPr="000905A1">
        <w:rPr>
          <w:rFonts w:ascii="Consolas" w:hAnsi="Consolas"/>
          <w:sz w:val="20"/>
          <w:szCs w:val="20"/>
        </w:rPr>
        <w:t>Müvafiq bölməyə giriş xüsusi login və parol vasitəsilə olacaq (çünki Nizamnamənin 3.1.15-ci yarımbəndinin tələbinə görə sistemdən istifadənin ödənişli əsaslarla həyata keçirilməsi nəzərdə tutulur).</w:t>
      </w:r>
    </w:p>
    <w:p w14:paraId="696D2565" w14:textId="77777777" w:rsidR="000905A1" w:rsidRPr="000905A1" w:rsidRDefault="000905A1" w:rsidP="004D0295">
      <w:pPr>
        <w:numPr>
          <w:ilvl w:val="0"/>
          <w:numId w:val="1"/>
        </w:numPr>
        <w:spacing w:after="100"/>
        <w:ind w:left="360"/>
        <w:jc w:val="both"/>
        <w:rPr>
          <w:rFonts w:ascii="Consolas" w:hAnsi="Consolas"/>
          <w:sz w:val="20"/>
          <w:szCs w:val="20"/>
        </w:rPr>
      </w:pPr>
      <w:r w:rsidRPr="000905A1">
        <w:rPr>
          <w:rFonts w:ascii="Consolas" w:hAnsi="Consolas"/>
          <w:sz w:val="20"/>
          <w:szCs w:val="20"/>
        </w:rPr>
        <w:t xml:space="preserve">Müvafiq bölməyə daxil olduqdan sonra normativ hüquqi aktlar (qanunlar, fərmanlar, NK qərarları) üzrə açar sözlər vasitəsilə axtarış aparmaq imkanı verən onlayn axtarış cihazı </w:t>
      </w:r>
      <w:r w:rsidRPr="000905A1">
        <w:rPr>
          <w:rFonts w:ascii="Consolas" w:hAnsi="Consolas"/>
          <w:i/>
          <w:iCs/>
          <w:sz w:val="20"/>
          <w:szCs w:val="20"/>
        </w:rPr>
        <w:t xml:space="preserve">(search engine) </w:t>
      </w:r>
      <w:r w:rsidRPr="000905A1">
        <w:rPr>
          <w:rFonts w:ascii="Consolas" w:hAnsi="Consolas"/>
          <w:sz w:val="20"/>
          <w:szCs w:val="20"/>
        </w:rPr>
        <w:t xml:space="preserve">açılır. </w:t>
      </w:r>
    </w:p>
    <w:p w14:paraId="13BA0BC5" w14:textId="77CD289D" w:rsidR="004D0295" w:rsidRPr="006D2D14" w:rsidRDefault="000905A1" w:rsidP="006D2D14">
      <w:pPr>
        <w:numPr>
          <w:ilvl w:val="0"/>
          <w:numId w:val="1"/>
        </w:numPr>
        <w:spacing w:after="100"/>
        <w:ind w:left="360"/>
        <w:jc w:val="both"/>
        <w:rPr>
          <w:rFonts w:ascii="Consolas" w:hAnsi="Consolas"/>
          <w:sz w:val="20"/>
          <w:szCs w:val="20"/>
        </w:rPr>
      </w:pPr>
      <w:r w:rsidRPr="000905A1">
        <w:rPr>
          <w:rFonts w:ascii="Consolas" w:hAnsi="Consolas"/>
          <w:sz w:val="20"/>
          <w:szCs w:val="20"/>
        </w:rPr>
        <w:t>Axtarış cihazında tələb olunan NHA tapıldıqdan sonra, onun üzərinə tıklayərkən həmin NHA haqqında aşağıdakı zəruri məlumatlar (sənədlər) göstərilir:</w:t>
      </w:r>
    </w:p>
    <w:p w14:paraId="13745809" w14:textId="77777777" w:rsidR="000905A1" w:rsidRPr="000905A1" w:rsidRDefault="000905A1" w:rsidP="006D2D14">
      <w:pPr>
        <w:numPr>
          <w:ilvl w:val="1"/>
          <w:numId w:val="1"/>
        </w:numPr>
        <w:spacing w:after="100"/>
        <w:ind w:left="587"/>
        <w:rPr>
          <w:rFonts w:ascii="Consolas" w:hAnsi="Consolas"/>
          <w:sz w:val="20"/>
          <w:szCs w:val="20"/>
        </w:rPr>
      </w:pPr>
      <w:r w:rsidRPr="000905A1">
        <w:rPr>
          <w:rFonts w:ascii="Consolas" w:hAnsi="Consolas"/>
          <w:sz w:val="20"/>
          <w:szCs w:val="20"/>
        </w:rPr>
        <w:t>Normayaratma təşəbbüsü subyekti</w:t>
      </w:r>
    </w:p>
    <w:p w14:paraId="716211B5" w14:textId="77777777" w:rsidR="000905A1" w:rsidRPr="000905A1" w:rsidRDefault="000905A1" w:rsidP="006D2D14">
      <w:pPr>
        <w:numPr>
          <w:ilvl w:val="1"/>
          <w:numId w:val="1"/>
        </w:numPr>
        <w:spacing w:after="100"/>
        <w:ind w:left="587"/>
        <w:rPr>
          <w:rFonts w:ascii="Consolas" w:hAnsi="Consolas"/>
          <w:sz w:val="20"/>
          <w:szCs w:val="20"/>
        </w:rPr>
      </w:pPr>
      <w:r w:rsidRPr="000905A1">
        <w:rPr>
          <w:rFonts w:ascii="Consolas" w:hAnsi="Consolas"/>
          <w:sz w:val="20"/>
          <w:szCs w:val="20"/>
        </w:rPr>
        <w:t>İlkin layihəni hazırlayan qurum</w:t>
      </w:r>
    </w:p>
    <w:p w14:paraId="5A4E2EAF" w14:textId="77777777" w:rsidR="000905A1" w:rsidRPr="000905A1" w:rsidRDefault="000905A1" w:rsidP="006D2D14">
      <w:pPr>
        <w:numPr>
          <w:ilvl w:val="1"/>
          <w:numId w:val="1"/>
        </w:numPr>
        <w:spacing w:after="100"/>
        <w:ind w:left="587"/>
        <w:rPr>
          <w:rFonts w:ascii="Consolas" w:hAnsi="Consolas"/>
          <w:sz w:val="20"/>
          <w:szCs w:val="20"/>
        </w:rPr>
      </w:pPr>
      <w:r w:rsidRPr="000905A1">
        <w:rPr>
          <w:rFonts w:ascii="Consolas" w:hAnsi="Consolas"/>
          <w:sz w:val="20"/>
          <w:szCs w:val="20"/>
        </w:rPr>
        <w:t>Nömrəsi</w:t>
      </w:r>
    </w:p>
    <w:p w14:paraId="0461D901" w14:textId="77777777" w:rsidR="000905A1" w:rsidRPr="000905A1" w:rsidRDefault="000905A1" w:rsidP="006D2D14">
      <w:pPr>
        <w:numPr>
          <w:ilvl w:val="1"/>
          <w:numId w:val="1"/>
        </w:numPr>
        <w:spacing w:after="100"/>
        <w:ind w:left="587"/>
        <w:rPr>
          <w:rFonts w:ascii="Consolas" w:hAnsi="Consolas"/>
          <w:sz w:val="20"/>
          <w:szCs w:val="20"/>
        </w:rPr>
      </w:pPr>
      <w:r w:rsidRPr="000905A1">
        <w:rPr>
          <w:rFonts w:ascii="Consolas" w:hAnsi="Consolas"/>
          <w:sz w:val="20"/>
          <w:szCs w:val="20"/>
        </w:rPr>
        <w:t>Dərc olunma tarixi</w:t>
      </w:r>
    </w:p>
    <w:p w14:paraId="38CE9E48" w14:textId="77777777" w:rsidR="000905A1" w:rsidRPr="000905A1" w:rsidRDefault="000905A1" w:rsidP="006D2D14">
      <w:pPr>
        <w:numPr>
          <w:ilvl w:val="1"/>
          <w:numId w:val="1"/>
        </w:numPr>
        <w:spacing w:after="100"/>
        <w:ind w:left="587"/>
        <w:rPr>
          <w:rFonts w:ascii="Consolas" w:hAnsi="Consolas"/>
          <w:sz w:val="20"/>
          <w:szCs w:val="20"/>
        </w:rPr>
      </w:pPr>
      <w:r w:rsidRPr="000905A1">
        <w:rPr>
          <w:rFonts w:ascii="Consolas" w:hAnsi="Consolas"/>
          <w:sz w:val="20"/>
          <w:szCs w:val="20"/>
        </w:rPr>
        <w:t>Qüvvəyə minmə tarixi</w:t>
      </w:r>
    </w:p>
    <w:p w14:paraId="699AFC5B" w14:textId="77777777" w:rsidR="000905A1" w:rsidRPr="000905A1" w:rsidRDefault="000905A1" w:rsidP="006D2D14">
      <w:pPr>
        <w:numPr>
          <w:ilvl w:val="1"/>
          <w:numId w:val="1"/>
        </w:numPr>
        <w:spacing w:after="100"/>
        <w:ind w:left="652" w:hanging="425"/>
        <w:rPr>
          <w:rFonts w:ascii="Consolas" w:hAnsi="Consolas"/>
          <w:sz w:val="20"/>
          <w:szCs w:val="20"/>
        </w:rPr>
      </w:pPr>
      <w:r w:rsidRPr="000905A1">
        <w:rPr>
          <w:rFonts w:ascii="Consolas" w:hAnsi="Consolas"/>
          <w:sz w:val="20"/>
          <w:szCs w:val="20"/>
        </w:rPr>
        <w:t>Dərc olunduğu yer</w:t>
      </w:r>
    </w:p>
    <w:p w14:paraId="7B1E8360" w14:textId="28901B8E" w:rsidR="006D2D14" w:rsidRPr="006D2D14" w:rsidRDefault="000905A1" w:rsidP="006D2D14">
      <w:pPr>
        <w:numPr>
          <w:ilvl w:val="1"/>
          <w:numId w:val="1"/>
        </w:numPr>
        <w:spacing w:after="100"/>
        <w:ind w:left="587"/>
        <w:rPr>
          <w:rFonts w:ascii="Consolas" w:hAnsi="Consolas"/>
          <w:sz w:val="20"/>
          <w:szCs w:val="20"/>
        </w:rPr>
      </w:pPr>
      <w:r w:rsidRPr="000905A1">
        <w:rPr>
          <w:rFonts w:ascii="Consolas" w:hAnsi="Consolas"/>
          <w:sz w:val="20"/>
          <w:szCs w:val="20"/>
        </w:rPr>
        <w:t>Layihəyə dair sənədlər:</w:t>
      </w:r>
    </w:p>
    <w:p w14:paraId="412260FD" w14:textId="166D3D7A" w:rsidR="000905A1" w:rsidRPr="000905A1" w:rsidRDefault="000905A1" w:rsidP="006D2D14">
      <w:pPr>
        <w:numPr>
          <w:ilvl w:val="0"/>
          <w:numId w:val="2"/>
        </w:numPr>
        <w:spacing w:after="100"/>
        <w:ind w:left="814"/>
        <w:rPr>
          <w:rFonts w:ascii="Consolas" w:hAnsi="Consolas"/>
          <w:sz w:val="20"/>
          <w:szCs w:val="20"/>
        </w:rPr>
      </w:pPr>
      <w:r w:rsidRPr="000905A1">
        <w:rPr>
          <w:rFonts w:ascii="Consolas" w:hAnsi="Consolas"/>
          <w:sz w:val="20"/>
          <w:szCs w:val="20"/>
        </w:rPr>
        <w:t xml:space="preserve">Layihənin mətni (normayaratma təşəbbüsü subyekti tərəfindən  normayaratma orqanına təqdim edilən layihənin mətni nəzərdə tutulur); </w:t>
      </w:r>
    </w:p>
    <w:p w14:paraId="5EEFA0C0" w14:textId="18452411" w:rsidR="000905A1" w:rsidRPr="000905A1" w:rsidRDefault="000905A1" w:rsidP="006D2D14">
      <w:pPr>
        <w:numPr>
          <w:ilvl w:val="0"/>
          <w:numId w:val="2"/>
        </w:numPr>
        <w:spacing w:after="100"/>
        <w:ind w:left="814"/>
        <w:rPr>
          <w:rFonts w:ascii="Consolas" w:hAnsi="Consolas"/>
          <w:sz w:val="20"/>
          <w:szCs w:val="20"/>
        </w:rPr>
      </w:pPr>
      <w:r w:rsidRPr="000905A1">
        <w:rPr>
          <w:rFonts w:ascii="Consolas" w:hAnsi="Consolas"/>
          <w:sz w:val="20"/>
          <w:szCs w:val="20"/>
        </w:rPr>
        <w:t>Müqayisəli cədvəl;</w:t>
      </w:r>
    </w:p>
    <w:p w14:paraId="29F6D399" w14:textId="641377FF" w:rsidR="000905A1" w:rsidRPr="000905A1" w:rsidRDefault="000905A1" w:rsidP="006D2D14">
      <w:pPr>
        <w:numPr>
          <w:ilvl w:val="0"/>
          <w:numId w:val="2"/>
        </w:numPr>
        <w:spacing w:after="100"/>
        <w:ind w:left="814"/>
        <w:rPr>
          <w:rFonts w:ascii="Consolas" w:hAnsi="Consolas"/>
          <w:sz w:val="20"/>
          <w:szCs w:val="20"/>
        </w:rPr>
      </w:pPr>
      <w:r w:rsidRPr="000905A1">
        <w:rPr>
          <w:rFonts w:ascii="Consolas" w:hAnsi="Consolas"/>
          <w:sz w:val="20"/>
          <w:szCs w:val="20"/>
        </w:rPr>
        <w:t>Normativ hüquqi aktın qəbul edilməsi zərurətinin əsaslandırılması sənədi;</w:t>
      </w:r>
    </w:p>
    <w:p w14:paraId="7D2052FE" w14:textId="59EF6FD1" w:rsidR="000905A1" w:rsidRPr="000905A1" w:rsidRDefault="000905A1" w:rsidP="006D2D14">
      <w:pPr>
        <w:numPr>
          <w:ilvl w:val="0"/>
          <w:numId w:val="2"/>
        </w:numPr>
        <w:spacing w:after="100"/>
        <w:ind w:left="814"/>
        <w:rPr>
          <w:rFonts w:ascii="Consolas" w:hAnsi="Consolas"/>
          <w:sz w:val="20"/>
          <w:szCs w:val="20"/>
        </w:rPr>
      </w:pPr>
      <w:r w:rsidRPr="000905A1">
        <w:rPr>
          <w:rFonts w:ascii="Consolas" w:hAnsi="Consolas"/>
          <w:sz w:val="20"/>
          <w:szCs w:val="20"/>
        </w:rPr>
        <w:t>Maliyyə-iqtisadi əsaslandırılma sənədi;</w:t>
      </w:r>
    </w:p>
    <w:p w14:paraId="5C1CE63D" w14:textId="51A17A45" w:rsidR="000905A1" w:rsidRPr="000905A1" w:rsidRDefault="000905A1" w:rsidP="006D2D14">
      <w:pPr>
        <w:numPr>
          <w:ilvl w:val="0"/>
          <w:numId w:val="2"/>
        </w:numPr>
        <w:spacing w:after="100"/>
        <w:ind w:left="814"/>
        <w:rPr>
          <w:rFonts w:ascii="Consolas" w:hAnsi="Consolas"/>
          <w:sz w:val="20"/>
          <w:szCs w:val="20"/>
        </w:rPr>
      </w:pPr>
      <w:r w:rsidRPr="000905A1">
        <w:rPr>
          <w:rFonts w:ascii="Consolas" w:hAnsi="Consolas"/>
          <w:sz w:val="20"/>
          <w:szCs w:val="20"/>
        </w:rPr>
        <w:t>Müşayiət məktubu;</w:t>
      </w:r>
    </w:p>
    <w:p w14:paraId="52C62986" w14:textId="3ADC7EA3" w:rsidR="000905A1" w:rsidRDefault="000905A1" w:rsidP="006D2D14">
      <w:pPr>
        <w:numPr>
          <w:ilvl w:val="0"/>
          <w:numId w:val="2"/>
        </w:numPr>
        <w:spacing w:after="100"/>
        <w:ind w:left="814"/>
        <w:rPr>
          <w:rFonts w:ascii="Consolas" w:hAnsi="Consolas"/>
          <w:sz w:val="20"/>
          <w:szCs w:val="20"/>
        </w:rPr>
      </w:pPr>
      <w:r w:rsidRPr="000905A1">
        <w:rPr>
          <w:rFonts w:ascii="Consolas" w:hAnsi="Consolas"/>
          <w:sz w:val="20"/>
          <w:szCs w:val="20"/>
        </w:rPr>
        <w:t>Hüquqi ekspertiza rəyi (rəyləri);</w:t>
      </w:r>
    </w:p>
    <w:p w14:paraId="79FD197E" w14:textId="08A5915C" w:rsidR="000905A1" w:rsidRPr="000905A1" w:rsidRDefault="000905A1" w:rsidP="006D2D14">
      <w:pPr>
        <w:numPr>
          <w:ilvl w:val="0"/>
          <w:numId w:val="2"/>
        </w:numPr>
        <w:spacing w:after="100"/>
        <w:ind w:left="812" w:hanging="358"/>
        <w:rPr>
          <w:rFonts w:ascii="Consolas" w:hAnsi="Consolas"/>
          <w:sz w:val="20"/>
          <w:szCs w:val="20"/>
        </w:rPr>
      </w:pPr>
      <w:r w:rsidRPr="000905A1">
        <w:rPr>
          <w:rFonts w:ascii="Consolas" w:hAnsi="Consolas"/>
          <w:sz w:val="20"/>
          <w:szCs w:val="20"/>
        </w:rPr>
        <w:t>Uyğunluğunun təmini haqqında arayış;</w:t>
      </w:r>
    </w:p>
    <w:p w14:paraId="7DC7FFD0" w14:textId="5681079B" w:rsidR="000905A1" w:rsidRPr="00282ECE" w:rsidRDefault="000905A1" w:rsidP="00282ECE">
      <w:pPr>
        <w:numPr>
          <w:ilvl w:val="0"/>
          <w:numId w:val="2"/>
        </w:numPr>
        <w:spacing w:after="100"/>
        <w:ind w:left="814"/>
        <w:rPr>
          <w:rFonts w:ascii="Consolas" w:hAnsi="Consolas"/>
          <w:sz w:val="20"/>
          <w:szCs w:val="20"/>
        </w:rPr>
      </w:pPr>
      <w:r w:rsidRPr="000905A1">
        <w:rPr>
          <w:rFonts w:ascii="Consolas" w:hAnsi="Consolas"/>
          <w:sz w:val="20"/>
          <w:szCs w:val="20"/>
        </w:rPr>
        <w:t>Normativ hüquqi aktın layihəsinin razılaşdırılması (vizalanması) haqqında məlumatı</w:t>
      </w:r>
      <w:r w:rsidR="00282ECE">
        <w:rPr>
          <w:rFonts w:ascii="Consolas" w:hAnsi="Consolas"/>
          <w:sz w:val="20"/>
          <w:szCs w:val="20"/>
        </w:rPr>
        <w:t xml:space="preserve"> </w:t>
      </w:r>
      <w:r w:rsidRPr="00282ECE">
        <w:rPr>
          <w:rFonts w:ascii="Consolas" w:hAnsi="Consolas"/>
          <w:sz w:val="20"/>
          <w:szCs w:val="20"/>
        </w:rPr>
        <w:t>əks etdirən sənədlər (razılaşdırılma prosesində əldə edilmiş rəylər)</w:t>
      </w:r>
    </w:p>
    <w:p w14:paraId="7CADD74E" w14:textId="7CE100ED" w:rsidR="000905A1" w:rsidRPr="000905A1" w:rsidRDefault="00282ECE" w:rsidP="006D2D14">
      <w:pPr>
        <w:numPr>
          <w:ilvl w:val="0"/>
          <w:numId w:val="2"/>
        </w:numPr>
        <w:spacing w:after="100"/>
        <w:ind w:left="814"/>
        <w:rPr>
          <w:rFonts w:ascii="Consolas" w:hAnsi="Consolas"/>
          <w:sz w:val="20"/>
          <w:szCs w:val="20"/>
        </w:rPr>
      </w:pPr>
      <w:r>
        <w:rPr>
          <w:rFonts w:ascii="Consolas" w:hAnsi="Consolas"/>
          <w:sz w:val="20"/>
          <w:szCs w:val="20"/>
        </w:rPr>
        <w:t xml:space="preserve"> </w:t>
      </w:r>
      <w:r w:rsidR="000905A1" w:rsidRPr="000905A1">
        <w:rPr>
          <w:rFonts w:ascii="Consolas" w:hAnsi="Consolas"/>
          <w:sz w:val="20"/>
          <w:szCs w:val="20"/>
        </w:rPr>
        <w:t>Normativ hüquqi aktın layihəsinə dair ekspert rəyləri;</w:t>
      </w:r>
    </w:p>
    <w:p w14:paraId="3429B835" w14:textId="6B8232BA" w:rsidR="000905A1" w:rsidRPr="000905A1" w:rsidRDefault="00282ECE" w:rsidP="006D2D14">
      <w:pPr>
        <w:numPr>
          <w:ilvl w:val="0"/>
          <w:numId w:val="2"/>
        </w:numPr>
        <w:spacing w:after="100"/>
        <w:ind w:left="814"/>
        <w:rPr>
          <w:rFonts w:ascii="Consolas" w:hAnsi="Consolas"/>
          <w:sz w:val="20"/>
          <w:szCs w:val="20"/>
        </w:rPr>
      </w:pPr>
      <w:r>
        <w:rPr>
          <w:rFonts w:ascii="Consolas" w:hAnsi="Consolas"/>
          <w:sz w:val="20"/>
          <w:szCs w:val="20"/>
        </w:rPr>
        <w:t xml:space="preserve"> </w:t>
      </w:r>
      <w:r w:rsidR="000905A1" w:rsidRPr="000905A1">
        <w:rPr>
          <w:rFonts w:ascii="Consolas" w:hAnsi="Consolas"/>
          <w:sz w:val="20"/>
          <w:szCs w:val="20"/>
        </w:rPr>
        <w:t>Normativ hüquqi aktın layihəsini hazırlamış şəxslərin siyahısı;</w:t>
      </w:r>
    </w:p>
    <w:p w14:paraId="3F8CA03F" w14:textId="7ACB7CDD" w:rsidR="000905A1" w:rsidRPr="000905A1" w:rsidRDefault="00282ECE" w:rsidP="006D2D14">
      <w:pPr>
        <w:numPr>
          <w:ilvl w:val="0"/>
          <w:numId w:val="2"/>
        </w:numPr>
        <w:spacing w:after="100"/>
        <w:ind w:left="814"/>
        <w:rPr>
          <w:rFonts w:ascii="Consolas" w:hAnsi="Consolas"/>
          <w:sz w:val="20"/>
          <w:szCs w:val="20"/>
        </w:rPr>
      </w:pPr>
      <w:r>
        <w:rPr>
          <w:rFonts w:ascii="Consolas" w:hAnsi="Consolas"/>
          <w:sz w:val="20"/>
          <w:szCs w:val="20"/>
        </w:rPr>
        <w:t xml:space="preserve"> </w:t>
      </w:r>
      <w:r w:rsidR="000905A1" w:rsidRPr="000905A1">
        <w:rPr>
          <w:rFonts w:ascii="Consolas" w:hAnsi="Consolas"/>
          <w:sz w:val="20"/>
          <w:szCs w:val="20"/>
        </w:rPr>
        <w:t xml:space="preserve">Milli Məclisin aidiyyəti iclaslarının stenoqramları; </w:t>
      </w:r>
    </w:p>
    <w:p w14:paraId="10EC664F" w14:textId="57372D23" w:rsidR="000905A1" w:rsidRPr="000905A1" w:rsidRDefault="00282ECE" w:rsidP="006D2D14">
      <w:pPr>
        <w:numPr>
          <w:ilvl w:val="0"/>
          <w:numId w:val="2"/>
        </w:numPr>
        <w:spacing w:after="100"/>
        <w:ind w:left="814"/>
        <w:rPr>
          <w:rFonts w:ascii="Consolas" w:hAnsi="Consolas"/>
          <w:sz w:val="20"/>
          <w:szCs w:val="20"/>
        </w:rPr>
      </w:pPr>
      <w:r>
        <w:rPr>
          <w:rFonts w:ascii="Consolas" w:hAnsi="Consolas"/>
          <w:sz w:val="20"/>
          <w:szCs w:val="20"/>
        </w:rPr>
        <w:t xml:space="preserve"> </w:t>
      </w:r>
      <w:r w:rsidR="000905A1" w:rsidRPr="000905A1">
        <w:rPr>
          <w:rFonts w:ascii="Consolas" w:hAnsi="Consolas"/>
          <w:sz w:val="20"/>
          <w:szCs w:val="20"/>
        </w:rPr>
        <w:t>Milli Məclisin komitələrinin iclas protokolları;</w:t>
      </w:r>
    </w:p>
    <w:p w14:paraId="300F1B70" w14:textId="32BAF163" w:rsidR="009D5369" w:rsidRDefault="000905A1" w:rsidP="006D2D14">
      <w:pPr>
        <w:numPr>
          <w:ilvl w:val="0"/>
          <w:numId w:val="2"/>
        </w:numPr>
        <w:spacing w:after="100"/>
        <w:ind w:left="814"/>
        <w:rPr>
          <w:rFonts w:ascii="Consolas" w:hAnsi="Consolas"/>
          <w:sz w:val="20"/>
          <w:szCs w:val="20"/>
        </w:rPr>
      </w:pPr>
      <w:r w:rsidRPr="000905A1">
        <w:rPr>
          <w:rFonts w:ascii="Consolas" w:hAnsi="Consolas"/>
          <w:sz w:val="20"/>
          <w:szCs w:val="20"/>
        </w:rPr>
        <w:t>Normativ hüquqi aktın layihəsinə aid digər sənədlər.</w:t>
      </w:r>
    </w:p>
    <w:p w14:paraId="0D89B455" w14:textId="77777777" w:rsidR="0080741C" w:rsidRPr="000905A1" w:rsidRDefault="0080741C" w:rsidP="006D2D14">
      <w:pPr>
        <w:spacing w:after="100"/>
        <w:rPr>
          <w:rFonts w:ascii="Consolas" w:hAnsi="Consolas"/>
          <w:sz w:val="20"/>
          <w:szCs w:val="20"/>
        </w:rPr>
      </w:pPr>
    </w:p>
    <w:p w14:paraId="02CB435E" w14:textId="77777777" w:rsidR="000905A1" w:rsidRPr="000905A1" w:rsidRDefault="000905A1" w:rsidP="004D0295">
      <w:pPr>
        <w:numPr>
          <w:ilvl w:val="0"/>
          <w:numId w:val="1"/>
        </w:numPr>
        <w:spacing w:after="100"/>
        <w:ind w:left="360"/>
        <w:jc w:val="both"/>
        <w:rPr>
          <w:rFonts w:ascii="Consolas" w:hAnsi="Consolas"/>
          <w:sz w:val="20"/>
          <w:szCs w:val="20"/>
        </w:rPr>
      </w:pPr>
      <w:r w:rsidRPr="000905A1">
        <w:rPr>
          <w:rFonts w:ascii="Consolas" w:hAnsi="Consolas"/>
          <w:sz w:val="20"/>
          <w:szCs w:val="20"/>
        </w:rPr>
        <w:t xml:space="preserve">Yuxarıdakı 4.3-cü bənddə göstərilən sənədlər (olduğu halda) ayrıca PDF və ya Word faylları şəklində saytda yerləşdiriləcək və həmin faylların istifadəçilər tərəfindən endirilməsi </w:t>
      </w:r>
      <w:r w:rsidRPr="000905A1">
        <w:rPr>
          <w:rFonts w:ascii="Consolas" w:hAnsi="Consolas"/>
          <w:i/>
          <w:iCs/>
          <w:sz w:val="20"/>
          <w:szCs w:val="20"/>
        </w:rPr>
        <w:t>(downloading)</w:t>
      </w:r>
      <w:r w:rsidRPr="000905A1">
        <w:rPr>
          <w:rFonts w:ascii="Consolas" w:hAnsi="Consolas"/>
          <w:sz w:val="20"/>
          <w:szCs w:val="20"/>
        </w:rPr>
        <w:t xml:space="preserve"> imkanı olacaq.</w:t>
      </w:r>
    </w:p>
    <w:p w14:paraId="4AE42545" w14:textId="77777777" w:rsidR="000905A1" w:rsidRDefault="000905A1" w:rsidP="004D0295">
      <w:pPr>
        <w:spacing w:after="100"/>
        <w:jc w:val="both"/>
        <w:rPr>
          <w:rFonts w:ascii="Consolas" w:hAnsi="Consolas"/>
          <w:sz w:val="20"/>
          <w:szCs w:val="20"/>
        </w:rPr>
      </w:pPr>
      <w:r w:rsidRPr="000905A1">
        <w:rPr>
          <w:rFonts w:ascii="Consolas" w:hAnsi="Consolas"/>
          <w:sz w:val="20"/>
          <w:szCs w:val="20"/>
        </w:rPr>
        <w:t>Layihə barədə məlumatların və sənədlərin nümunə olaraq aşağıdakı cədvəldə göründüyü kimi göstərilməsi planlaşdırılır:</w:t>
      </w:r>
    </w:p>
    <w:p w14:paraId="2E9C6410" w14:textId="77777777" w:rsidR="000905A1" w:rsidRPr="000905A1" w:rsidRDefault="000905A1" w:rsidP="0080741C">
      <w:pPr>
        <w:spacing w:after="100"/>
        <w:rPr>
          <w:rFonts w:ascii="Consolas" w:hAnsi="Consolas"/>
          <w:sz w:val="20"/>
          <w:szCs w:val="20"/>
        </w:rPr>
      </w:pP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954"/>
        <w:gridCol w:w="4252"/>
      </w:tblGrid>
      <w:tr w:rsidR="000905A1" w:rsidRPr="000905A1" w14:paraId="39ECC398" w14:textId="77777777" w:rsidTr="00E75ED2">
        <w:trPr>
          <w:trHeight w:val="447"/>
        </w:trPr>
        <w:tc>
          <w:tcPr>
            <w:tcW w:w="5954" w:type="dxa"/>
            <w:tcMar>
              <w:top w:w="0" w:type="dxa"/>
              <w:left w:w="108" w:type="dxa"/>
              <w:bottom w:w="0" w:type="dxa"/>
              <w:right w:w="108" w:type="dxa"/>
            </w:tcMar>
            <w:vAlign w:val="center"/>
            <w:hideMark/>
          </w:tcPr>
          <w:p w14:paraId="2D76A3C8" w14:textId="77777777" w:rsidR="000905A1" w:rsidRPr="000905A1" w:rsidRDefault="000905A1" w:rsidP="0080741C">
            <w:pPr>
              <w:spacing w:after="100"/>
              <w:rPr>
                <w:rFonts w:ascii="Consolas" w:hAnsi="Consolas"/>
                <w:b/>
                <w:bCs/>
                <w:sz w:val="20"/>
                <w:szCs w:val="20"/>
              </w:rPr>
            </w:pPr>
            <w:r w:rsidRPr="000905A1">
              <w:rPr>
                <w:rFonts w:ascii="Consolas" w:hAnsi="Consolas"/>
                <w:b/>
                <w:bCs/>
                <w:sz w:val="20"/>
                <w:szCs w:val="20"/>
              </w:rPr>
              <w:t>Normayaratma təşəbbüsü subyekti</w:t>
            </w:r>
          </w:p>
        </w:tc>
        <w:tc>
          <w:tcPr>
            <w:tcW w:w="4252" w:type="dxa"/>
            <w:tcMar>
              <w:top w:w="0" w:type="dxa"/>
              <w:left w:w="108" w:type="dxa"/>
              <w:bottom w:w="0" w:type="dxa"/>
              <w:right w:w="108" w:type="dxa"/>
            </w:tcMar>
            <w:vAlign w:val="center"/>
            <w:hideMark/>
          </w:tcPr>
          <w:p w14:paraId="3B7606B9" w14:textId="77777777" w:rsidR="000905A1" w:rsidRPr="000905A1" w:rsidRDefault="000905A1" w:rsidP="0080741C">
            <w:pPr>
              <w:spacing w:after="100"/>
              <w:rPr>
                <w:rFonts w:ascii="Consolas" w:hAnsi="Consolas"/>
                <w:sz w:val="20"/>
                <w:szCs w:val="20"/>
              </w:rPr>
            </w:pPr>
            <w:r w:rsidRPr="000905A1">
              <w:rPr>
                <w:rFonts w:ascii="Consolas" w:hAnsi="Consolas"/>
                <w:sz w:val="20"/>
                <w:szCs w:val="20"/>
              </w:rPr>
              <w:t>Azərbaycan Respublikası Prezidenti</w:t>
            </w:r>
          </w:p>
        </w:tc>
      </w:tr>
      <w:tr w:rsidR="000905A1" w:rsidRPr="000905A1" w14:paraId="0BA507BB" w14:textId="77777777" w:rsidTr="00E75ED2">
        <w:trPr>
          <w:trHeight w:val="338"/>
        </w:trPr>
        <w:tc>
          <w:tcPr>
            <w:tcW w:w="5954" w:type="dxa"/>
            <w:tcMar>
              <w:top w:w="0" w:type="dxa"/>
              <w:left w:w="108" w:type="dxa"/>
              <w:bottom w:w="0" w:type="dxa"/>
              <w:right w:w="108" w:type="dxa"/>
            </w:tcMar>
            <w:vAlign w:val="center"/>
            <w:hideMark/>
          </w:tcPr>
          <w:p w14:paraId="4B1876A2" w14:textId="77777777" w:rsidR="000905A1" w:rsidRPr="000905A1" w:rsidRDefault="000905A1" w:rsidP="0080741C">
            <w:pPr>
              <w:spacing w:after="100"/>
              <w:rPr>
                <w:rFonts w:ascii="Consolas" w:hAnsi="Consolas"/>
                <w:b/>
                <w:bCs/>
                <w:sz w:val="20"/>
                <w:szCs w:val="20"/>
              </w:rPr>
            </w:pPr>
            <w:r w:rsidRPr="000905A1">
              <w:rPr>
                <w:rFonts w:ascii="Consolas" w:hAnsi="Consolas"/>
                <w:b/>
                <w:bCs/>
                <w:sz w:val="20"/>
                <w:szCs w:val="20"/>
              </w:rPr>
              <w:t>İlkin layihəni hazırlayan qurum</w:t>
            </w:r>
          </w:p>
        </w:tc>
        <w:tc>
          <w:tcPr>
            <w:tcW w:w="4252" w:type="dxa"/>
            <w:tcMar>
              <w:top w:w="0" w:type="dxa"/>
              <w:left w:w="108" w:type="dxa"/>
              <w:bottom w:w="0" w:type="dxa"/>
              <w:right w:w="108" w:type="dxa"/>
            </w:tcMar>
            <w:vAlign w:val="center"/>
            <w:hideMark/>
          </w:tcPr>
          <w:p w14:paraId="048C0B95" w14:textId="77777777" w:rsidR="000905A1" w:rsidRPr="000905A1" w:rsidRDefault="000905A1" w:rsidP="0080741C">
            <w:pPr>
              <w:spacing w:after="100"/>
              <w:rPr>
                <w:rFonts w:ascii="Consolas" w:hAnsi="Consolas"/>
                <w:sz w:val="20"/>
                <w:szCs w:val="20"/>
              </w:rPr>
            </w:pPr>
            <w:r w:rsidRPr="000905A1">
              <w:rPr>
                <w:rFonts w:ascii="Consolas" w:hAnsi="Consolas"/>
                <w:sz w:val="20"/>
                <w:szCs w:val="20"/>
              </w:rPr>
              <w:t>HEQT Mərkəzi</w:t>
            </w:r>
          </w:p>
        </w:tc>
      </w:tr>
      <w:tr w:rsidR="000905A1" w:rsidRPr="000905A1" w14:paraId="64C927AB" w14:textId="77777777" w:rsidTr="00E75ED2">
        <w:trPr>
          <w:trHeight w:val="261"/>
        </w:trPr>
        <w:tc>
          <w:tcPr>
            <w:tcW w:w="5954" w:type="dxa"/>
            <w:tcMar>
              <w:top w:w="0" w:type="dxa"/>
              <w:left w:w="108" w:type="dxa"/>
              <w:bottom w:w="0" w:type="dxa"/>
              <w:right w:w="108" w:type="dxa"/>
            </w:tcMar>
            <w:vAlign w:val="center"/>
            <w:hideMark/>
          </w:tcPr>
          <w:p w14:paraId="5526580A" w14:textId="77777777" w:rsidR="000905A1" w:rsidRPr="000905A1" w:rsidRDefault="000905A1" w:rsidP="0080741C">
            <w:pPr>
              <w:spacing w:after="100"/>
              <w:rPr>
                <w:rFonts w:ascii="Consolas" w:hAnsi="Consolas"/>
                <w:b/>
                <w:bCs/>
                <w:sz w:val="20"/>
                <w:szCs w:val="20"/>
              </w:rPr>
            </w:pPr>
            <w:r w:rsidRPr="000905A1">
              <w:rPr>
                <w:rFonts w:ascii="Consolas" w:hAnsi="Consolas"/>
                <w:b/>
                <w:bCs/>
                <w:sz w:val="20"/>
                <w:szCs w:val="20"/>
              </w:rPr>
              <w:t>Qeydiyyat nömrəsi</w:t>
            </w:r>
          </w:p>
        </w:tc>
        <w:tc>
          <w:tcPr>
            <w:tcW w:w="4252" w:type="dxa"/>
            <w:tcMar>
              <w:top w:w="0" w:type="dxa"/>
              <w:left w:w="108" w:type="dxa"/>
              <w:bottom w:w="0" w:type="dxa"/>
              <w:right w:w="108" w:type="dxa"/>
            </w:tcMar>
            <w:vAlign w:val="center"/>
            <w:hideMark/>
          </w:tcPr>
          <w:p w14:paraId="3B0C5FEF" w14:textId="77777777" w:rsidR="000905A1" w:rsidRPr="000905A1" w:rsidRDefault="000905A1" w:rsidP="0080741C">
            <w:pPr>
              <w:spacing w:after="100"/>
              <w:rPr>
                <w:rFonts w:ascii="Consolas" w:hAnsi="Consolas"/>
                <w:sz w:val="20"/>
                <w:szCs w:val="20"/>
              </w:rPr>
            </w:pPr>
            <w:r w:rsidRPr="000905A1">
              <w:rPr>
                <w:rFonts w:ascii="Consolas" w:hAnsi="Consolas"/>
                <w:sz w:val="20"/>
                <w:szCs w:val="20"/>
              </w:rPr>
              <w:t>00000</w:t>
            </w:r>
          </w:p>
        </w:tc>
      </w:tr>
      <w:tr w:rsidR="000905A1" w:rsidRPr="000905A1" w14:paraId="0D0CDFB4" w14:textId="77777777" w:rsidTr="00E75ED2">
        <w:trPr>
          <w:trHeight w:val="395"/>
        </w:trPr>
        <w:tc>
          <w:tcPr>
            <w:tcW w:w="5954" w:type="dxa"/>
            <w:tcMar>
              <w:top w:w="0" w:type="dxa"/>
              <w:left w:w="108" w:type="dxa"/>
              <w:bottom w:w="0" w:type="dxa"/>
              <w:right w:w="108" w:type="dxa"/>
            </w:tcMar>
            <w:vAlign w:val="center"/>
            <w:hideMark/>
          </w:tcPr>
          <w:p w14:paraId="1403AEC7" w14:textId="77777777" w:rsidR="000905A1" w:rsidRPr="000905A1" w:rsidRDefault="000905A1" w:rsidP="0080741C">
            <w:pPr>
              <w:spacing w:after="100"/>
              <w:rPr>
                <w:rFonts w:ascii="Consolas" w:hAnsi="Consolas"/>
                <w:b/>
                <w:bCs/>
                <w:sz w:val="20"/>
                <w:szCs w:val="20"/>
              </w:rPr>
            </w:pPr>
            <w:r w:rsidRPr="000905A1">
              <w:rPr>
                <w:rFonts w:ascii="Consolas" w:hAnsi="Consolas"/>
                <w:b/>
                <w:bCs/>
                <w:sz w:val="20"/>
                <w:szCs w:val="20"/>
              </w:rPr>
              <w:t>Dərc olunma tarixi</w:t>
            </w:r>
          </w:p>
        </w:tc>
        <w:tc>
          <w:tcPr>
            <w:tcW w:w="4252" w:type="dxa"/>
            <w:tcMar>
              <w:top w:w="0" w:type="dxa"/>
              <w:left w:w="108" w:type="dxa"/>
              <w:bottom w:w="0" w:type="dxa"/>
              <w:right w:w="108" w:type="dxa"/>
            </w:tcMar>
            <w:vAlign w:val="center"/>
            <w:hideMark/>
          </w:tcPr>
          <w:p w14:paraId="6C54D218" w14:textId="77777777" w:rsidR="000905A1" w:rsidRPr="000905A1" w:rsidRDefault="000905A1" w:rsidP="0080741C">
            <w:pPr>
              <w:spacing w:after="100"/>
              <w:rPr>
                <w:rFonts w:ascii="Consolas" w:hAnsi="Consolas"/>
                <w:sz w:val="20"/>
                <w:szCs w:val="20"/>
              </w:rPr>
            </w:pPr>
            <w:r w:rsidRPr="000905A1">
              <w:rPr>
                <w:rFonts w:ascii="Consolas" w:hAnsi="Consolas"/>
                <w:sz w:val="20"/>
                <w:szCs w:val="20"/>
              </w:rPr>
              <w:t>22.11.2024</w:t>
            </w:r>
          </w:p>
        </w:tc>
      </w:tr>
      <w:tr w:rsidR="000905A1" w:rsidRPr="000905A1" w14:paraId="3368917E" w14:textId="77777777" w:rsidTr="00E75ED2">
        <w:trPr>
          <w:trHeight w:val="104"/>
        </w:trPr>
        <w:tc>
          <w:tcPr>
            <w:tcW w:w="5954" w:type="dxa"/>
            <w:tcMar>
              <w:top w:w="0" w:type="dxa"/>
              <w:left w:w="108" w:type="dxa"/>
              <w:bottom w:w="0" w:type="dxa"/>
              <w:right w:w="108" w:type="dxa"/>
            </w:tcMar>
            <w:vAlign w:val="center"/>
            <w:hideMark/>
          </w:tcPr>
          <w:p w14:paraId="41EEAEF8" w14:textId="77777777" w:rsidR="000905A1" w:rsidRPr="000905A1" w:rsidRDefault="000905A1" w:rsidP="0080741C">
            <w:pPr>
              <w:spacing w:after="100"/>
              <w:rPr>
                <w:rFonts w:ascii="Consolas" w:hAnsi="Consolas"/>
                <w:b/>
                <w:bCs/>
                <w:sz w:val="20"/>
                <w:szCs w:val="20"/>
              </w:rPr>
            </w:pPr>
            <w:r w:rsidRPr="000905A1">
              <w:rPr>
                <w:rFonts w:ascii="Consolas" w:hAnsi="Consolas"/>
                <w:b/>
                <w:bCs/>
                <w:sz w:val="20"/>
                <w:szCs w:val="20"/>
              </w:rPr>
              <w:t>Qüvvəyə minmə tarixi</w:t>
            </w:r>
          </w:p>
        </w:tc>
        <w:tc>
          <w:tcPr>
            <w:tcW w:w="4252" w:type="dxa"/>
            <w:tcMar>
              <w:top w:w="0" w:type="dxa"/>
              <w:left w:w="108" w:type="dxa"/>
              <w:bottom w:w="0" w:type="dxa"/>
              <w:right w:w="108" w:type="dxa"/>
            </w:tcMar>
            <w:vAlign w:val="center"/>
            <w:hideMark/>
          </w:tcPr>
          <w:p w14:paraId="7CBB2ADE" w14:textId="77777777" w:rsidR="000905A1" w:rsidRPr="000905A1" w:rsidRDefault="000905A1" w:rsidP="0080741C">
            <w:pPr>
              <w:spacing w:after="100"/>
              <w:rPr>
                <w:rFonts w:ascii="Consolas" w:hAnsi="Consolas"/>
                <w:sz w:val="20"/>
                <w:szCs w:val="20"/>
              </w:rPr>
            </w:pPr>
            <w:r w:rsidRPr="000905A1">
              <w:rPr>
                <w:rFonts w:ascii="Consolas" w:hAnsi="Consolas"/>
                <w:sz w:val="20"/>
                <w:szCs w:val="20"/>
              </w:rPr>
              <w:t>22.11.2024</w:t>
            </w:r>
          </w:p>
        </w:tc>
      </w:tr>
      <w:tr w:rsidR="000905A1" w:rsidRPr="000905A1" w14:paraId="20DB148B" w14:textId="77777777" w:rsidTr="00E75ED2">
        <w:trPr>
          <w:trHeight w:val="82"/>
        </w:trPr>
        <w:tc>
          <w:tcPr>
            <w:tcW w:w="5954" w:type="dxa"/>
            <w:tcMar>
              <w:top w:w="0" w:type="dxa"/>
              <w:left w:w="108" w:type="dxa"/>
              <w:bottom w:w="0" w:type="dxa"/>
              <w:right w:w="108" w:type="dxa"/>
            </w:tcMar>
            <w:vAlign w:val="center"/>
            <w:hideMark/>
          </w:tcPr>
          <w:p w14:paraId="4DA25894" w14:textId="77777777" w:rsidR="000905A1" w:rsidRPr="000905A1" w:rsidRDefault="000905A1" w:rsidP="0080741C">
            <w:pPr>
              <w:spacing w:after="100"/>
              <w:rPr>
                <w:rFonts w:ascii="Consolas" w:hAnsi="Consolas"/>
                <w:b/>
                <w:bCs/>
                <w:sz w:val="20"/>
                <w:szCs w:val="20"/>
              </w:rPr>
            </w:pPr>
            <w:r w:rsidRPr="000905A1">
              <w:rPr>
                <w:rFonts w:ascii="Consolas" w:hAnsi="Consolas"/>
                <w:b/>
                <w:bCs/>
                <w:sz w:val="20"/>
                <w:szCs w:val="20"/>
              </w:rPr>
              <w:t>Dərc olunduğu yer</w:t>
            </w:r>
          </w:p>
        </w:tc>
        <w:tc>
          <w:tcPr>
            <w:tcW w:w="4252" w:type="dxa"/>
            <w:tcMar>
              <w:top w:w="0" w:type="dxa"/>
              <w:left w:w="108" w:type="dxa"/>
              <w:bottom w:w="0" w:type="dxa"/>
              <w:right w:w="108" w:type="dxa"/>
            </w:tcMar>
            <w:vAlign w:val="center"/>
            <w:hideMark/>
          </w:tcPr>
          <w:p w14:paraId="682CFC61" w14:textId="77777777" w:rsidR="000905A1" w:rsidRPr="000905A1" w:rsidRDefault="000905A1" w:rsidP="0080741C">
            <w:pPr>
              <w:spacing w:after="100"/>
              <w:rPr>
                <w:rFonts w:ascii="Consolas" w:hAnsi="Consolas"/>
                <w:sz w:val="20"/>
                <w:szCs w:val="20"/>
              </w:rPr>
            </w:pPr>
            <w:r w:rsidRPr="000905A1">
              <w:rPr>
                <w:rFonts w:ascii="Consolas" w:hAnsi="Consolas"/>
                <w:sz w:val="20"/>
                <w:szCs w:val="20"/>
              </w:rPr>
              <w:t>“Azərbaycan” Qəzeti</w:t>
            </w:r>
          </w:p>
        </w:tc>
      </w:tr>
      <w:tr w:rsidR="000905A1" w:rsidRPr="000905A1" w14:paraId="47E72E86" w14:textId="77777777" w:rsidTr="00E75ED2">
        <w:trPr>
          <w:trHeight w:val="154"/>
        </w:trPr>
        <w:tc>
          <w:tcPr>
            <w:tcW w:w="10206" w:type="dxa"/>
            <w:gridSpan w:val="2"/>
            <w:tcMar>
              <w:top w:w="0" w:type="dxa"/>
              <w:left w:w="108" w:type="dxa"/>
              <w:bottom w:w="0" w:type="dxa"/>
              <w:right w:w="108" w:type="dxa"/>
            </w:tcMar>
            <w:vAlign w:val="center"/>
          </w:tcPr>
          <w:p w14:paraId="73C42C5F" w14:textId="2DA74FE5" w:rsidR="000905A1" w:rsidRPr="00282ECE" w:rsidRDefault="000905A1" w:rsidP="0080741C">
            <w:pPr>
              <w:spacing w:after="100"/>
              <w:rPr>
                <w:rFonts w:ascii="Consolas" w:hAnsi="Consolas"/>
                <w:sz w:val="20"/>
                <w:szCs w:val="20"/>
                <w:u w:val="single"/>
              </w:rPr>
            </w:pPr>
            <w:r w:rsidRPr="00282ECE">
              <w:rPr>
                <w:rFonts w:ascii="Consolas" w:hAnsi="Consolas"/>
                <w:sz w:val="20"/>
                <w:szCs w:val="20"/>
                <w:u w:val="single"/>
              </w:rPr>
              <w:t>Layihəyə dair sənədlər:</w:t>
            </w:r>
          </w:p>
        </w:tc>
      </w:tr>
      <w:tr w:rsidR="000905A1" w:rsidRPr="000905A1" w14:paraId="62911D7D" w14:textId="77777777" w:rsidTr="00E75ED2">
        <w:trPr>
          <w:trHeight w:val="247"/>
        </w:trPr>
        <w:tc>
          <w:tcPr>
            <w:tcW w:w="5954" w:type="dxa"/>
            <w:tcMar>
              <w:top w:w="0" w:type="dxa"/>
              <w:left w:w="108" w:type="dxa"/>
              <w:bottom w:w="0" w:type="dxa"/>
              <w:right w:w="108" w:type="dxa"/>
            </w:tcMar>
            <w:vAlign w:val="center"/>
            <w:hideMark/>
          </w:tcPr>
          <w:p w14:paraId="0AF0A7D2" w14:textId="77777777" w:rsidR="000905A1" w:rsidRPr="000905A1" w:rsidRDefault="000905A1" w:rsidP="0080741C">
            <w:pPr>
              <w:spacing w:after="100"/>
              <w:rPr>
                <w:rFonts w:ascii="Consolas" w:hAnsi="Consolas"/>
                <w:sz w:val="20"/>
                <w:szCs w:val="20"/>
              </w:rPr>
            </w:pPr>
            <w:r w:rsidRPr="000905A1">
              <w:rPr>
                <w:rFonts w:ascii="Consolas" w:hAnsi="Consolas"/>
                <w:sz w:val="20"/>
                <w:szCs w:val="20"/>
              </w:rPr>
              <w:t>Layihənin mətni</w:t>
            </w:r>
          </w:p>
        </w:tc>
        <w:tc>
          <w:tcPr>
            <w:tcW w:w="4252" w:type="dxa"/>
            <w:tcMar>
              <w:top w:w="0" w:type="dxa"/>
              <w:left w:w="108" w:type="dxa"/>
              <w:bottom w:w="0" w:type="dxa"/>
              <w:right w:w="108" w:type="dxa"/>
            </w:tcMar>
            <w:vAlign w:val="center"/>
            <w:hideMark/>
          </w:tcPr>
          <w:p w14:paraId="4D62CE4C" w14:textId="63ED6991" w:rsidR="000905A1" w:rsidRPr="000905A1" w:rsidRDefault="000905A1" w:rsidP="0080741C">
            <w:pPr>
              <w:spacing w:after="100"/>
              <w:rPr>
                <w:rFonts w:ascii="Consolas" w:hAnsi="Consolas"/>
                <w:sz w:val="20"/>
                <w:szCs w:val="20"/>
              </w:rPr>
            </w:pPr>
            <w:r w:rsidRPr="000905A1">
              <w:rPr>
                <w:rFonts w:ascii="Consolas" w:hAnsi="Consolas"/>
                <w:noProof/>
                <w:sz w:val="20"/>
                <w:szCs w:val="20"/>
              </w:rPr>
              <w:drawing>
                <wp:inline distT="0" distB="0" distL="0" distR="0" wp14:anchorId="27CA8250" wp14:editId="1B8D8C53">
                  <wp:extent cx="219075" cy="219075"/>
                  <wp:effectExtent l="0" t="0" r="9525" b="9525"/>
                  <wp:docPr id="52546277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r:link="rId7">
                            <a:grayscl/>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r>
      <w:tr w:rsidR="000905A1" w:rsidRPr="000905A1" w14:paraId="3FEF7018" w14:textId="77777777" w:rsidTr="00E75ED2">
        <w:trPr>
          <w:trHeight w:val="113"/>
        </w:trPr>
        <w:tc>
          <w:tcPr>
            <w:tcW w:w="5954" w:type="dxa"/>
            <w:tcMar>
              <w:top w:w="0" w:type="dxa"/>
              <w:left w:w="108" w:type="dxa"/>
              <w:bottom w:w="0" w:type="dxa"/>
              <w:right w:w="108" w:type="dxa"/>
            </w:tcMar>
            <w:vAlign w:val="center"/>
            <w:hideMark/>
          </w:tcPr>
          <w:p w14:paraId="7425231E" w14:textId="77777777" w:rsidR="000905A1" w:rsidRPr="000905A1" w:rsidRDefault="000905A1" w:rsidP="0080741C">
            <w:pPr>
              <w:spacing w:after="100"/>
              <w:rPr>
                <w:rFonts w:ascii="Consolas" w:hAnsi="Consolas"/>
                <w:sz w:val="20"/>
                <w:szCs w:val="20"/>
              </w:rPr>
            </w:pPr>
            <w:r w:rsidRPr="000905A1">
              <w:rPr>
                <w:rFonts w:ascii="Consolas" w:hAnsi="Consolas"/>
                <w:sz w:val="20"/>
                <w:szCs w:val="20"/>
              </w:rPr>
              <w:t>Müqayisəli cədvəl</w:t>
            </w:r>
          </w:p>
        </w:tc>
        <w:tc>
          <w:tcPr>
            <w:tcW w:w="4252" w:type="dxa"/>
            <w:tcMar>
              <w:top w:w="0" w:type="dxa"/>
              <w:left w:w="108" w:type="dxa"/>
              <w:bottom w:w="0" w:type="dxa"/>
              <w:right w:w="108" w:type="dxa"/>
            </w:tcMar>
            <w:vAlign w:val="center"/>
            <w:hideMark/>
          </w:tcPr>
          <w:p w14:paraId="4FC12684" w14:textId="52E38CE7" w:rsidR="000905A1" w:rsidRPr="000905A1" w:rsidRDefault="000905A1" w:rsidP="0080741C">
            <w:pPr>
              <w:spacing w:after="100"/>
              <w:rPr>
                <w:rFonts w:ascii="Consolas" w:hAnsi="Consolas"/>
                <w:sz w:val="20"/>
                <w:szCs w:val="20"/>
              </w:rPr>
            </w:pPr>
            <w:r w:rsidRPr="000905A1">
              <w:rPr>
                <w:rFonts w:ascii="Consolas" w:hAnsi="Consolas"/>
                <w:noProof/>
                <w:sz w:val="20"/>
                <w:szCs w:val="20"/>
              </w:rPr>
              <w:drawing>
                <wp:inline distT="0" distB="0" distL="0" distR="0" wp14:anchorId="1EF61014" wp14:editId="674D6EFB">
                  <wp:extent cx="200025" cy="200025"/>
                  <wp:effectExtent l="0" t="0" r="9525" b="9525"/>
                  <wp:docPr id="17068515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r:link="rId9">
                            <a:grayscl/>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r>
      <w:tr w:rsidR="000905A1" w:rsidRPr="000905A1" w14:paraId="5AB34360" w14:textId="77777777" w:rsidTr="00E75ED2">
        <w:trPr>
          <w:trHeight w:val="257"/>
        </w:trPr>
        <w:tc>
          <w:tcPr>
            <w:tcW w:w="5954" w:type="dxa"/>
            <w:tcMar>
              <w:top w:w="0" w:type="dxa"/>
              <w:left w:w="108" w:type="dxa"/>
              <w:bottom w:w="0" w:type="dxa"/>
              <w:right w:w="108" w:type="dxa"/>
            </w:tcMar>
            <w:vAlign w:val="center"/>
            <w:hideMark/>
          </w:tcPr>
          <w:p w14:paraId="5FAC0FE6" w14:textId="77777777" w:rsidR="000905A1" w:rsidRPr="000905A1" w:rsidRDefault="000905A1" w:rsidP="0080741C">
            <w:pPr>
              <w:spacing w:after="100"/>
              <w:rPr>
                <w:rFonts w:ascii="Consolas" w:hAnsi="Consolas"/>
                <w:sz w:val="20"/>
                <w:szCs w:val="20"/>
              </w:rPr>
            </w:pPr>
            <w:r w:rsidRPr="000905A1">
              <w:rPr>
                <w:rFonts w:ascii="Consolas" w:hAnsi="Consolas"/>
                <w:sz w:val="20"/>
                <w:szCs w:val="20"/>
              </w:rPr>
              <w:t>Qəbul edilmə zərurətinin əsaslandırılması</w:t>
            </w:r>
          </w:p>
        </w:tc>
        <w:tc>
          <w:tcPr>
            <w:tcW w:w="4252" w:type="dxa"/>
            <w:tcMar>
              <w:top w:w="0" w:type="dxa"/>
              <w:left w:w="108" w:type="dxa"/>
              <w:bottom w:w="0" w:type="dxa"/>
              <w:right w:w="108" w:type="dxa"/>
            </w:tcMar>
            <w:vAlign w:val="center"/>
            <w:hideMark/>
          </w:tcPr>
          <w:p w14:paraId="66EAD9D2" w14:textId="4F933507" w:rsidR="000905A1" w:rsidRPr="000905A1" w:rsidRDefault="0080741C" w:rsidP="0080741C">
            <w:pPr>
              <w:spacing w:after="100"/>
              <w:rPr>
                <w:rFonts w:ascii="Consolas" w:hAnsi="Consolas"/>
                <w:sz w:val="20"/>
                <w:szCs w:val="20"/>
              </w:rPr>
            </w:pPr>
            <w:r w:rsidRPr="000905A1">
              <w:rPr>
                <w:rFonts w:ascii="Consolas" w:hAnsi="Consolas"/>
                <w:noProof/>
                <w:sz w:val="20"/>
                <w:szCs w:val="20"/>
              </w:rPr>
              <w:drawing>
                <wp:inline distT="0" distB="0" distL="0" distR="0" wp14:anchorId="6ABB487A" wp14:editId="5D6621B0">
                  <wp:extent cx="219075" cy="219075"/>
                  <wp:effectExtent l="0" t="0" r="9525" b="9525"/>
                  <wp:docPr id="54706053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r:link="rId7">
                            <a:grayscl/>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r>
      <w:tr w:rsidR="000905A1" w:rsidRPr="000905A1" w14:paraId="39D3E3B0" w14:textId="77777777" w:rsidTr="00E75ED2">
        <w:trPr>
          <w:trHeight w:val="60"/>
        </w:trPr>
        <w:tc>
          <w:tcPr>
            <w:tcW w:w="5954" w:type="dxa"/>
            <w:tcMar>
              <w:top w:w="0" w:type="dxa"/>
              <w:left w:w="108" w:type="dxa"/>
              <w:bottom w:w="0" w:type="dxa"/>
              <w:right w:w="108" w:type="dxa"/>
            </w:tcMar>
            <w:vAlign w:val="center"/>
            <w:hideMark/>
          </w:tcPr>
          <w:p w14:paraId="2A2C9DE8" w14:textId="77777777" w:rsidR="000905A1" w:rsidRPr="000905A1" w:rsidRDefault="000905A1" w:rsidP="0080741C">
            <w:pPr>
              <w:spacing w:after="100"/>
              <w:rPr>
                <w:rFonts w:ascii="Consolas" w:hAnsi="Consolas"/>
                <w:sz w:val="20"/>
                <w:szCs w:val="20"/>
              </w:rPr>
            </w:pPr>
            <w:r w:rsidRPr="000905A1">
              <w:rPr>
                <w:rFonts w:ascii="Consolas" w:hAnsi="Consolas"/>
                <w:sz w:val="20"/>
                <w:szCs w:val="20"/>
              </w:rPr>
              <w:t>Konsepsiya sənədi</w:t>
            </w:r>
          </w:p>
        </w:tc>
        <w:tc>
          <w:tcPr>
            <w:tcW w:w="4252" w:type="dxa"/>
            <w:tcMar>
              <w:top w:w="0" w:type="dxa"/>
              <w:left w:w="108" w:type="dxa"/>
              <w:bottom w:w="0" w:type="dxa"/>
              <w:right w:w="108" w:type="dxa"/>
            </w:tcMar>
            <w:vAlign w:val="center"/>
            <w:hideMark/>
          </w:tcPr>
          <w:p w14:paraId="0CB29391" w14:textId="303B3351" w:rsidR="000905A1" w:rsidRPr="000905A1" w:rsidRDefault="000905A1" w:rsidP="0080741C">
            <w:pPr>
              <w:spacing w:after="100"/>
              <w:rPr>
                <w:rFonts w:ascii="Consolas" w:hAnsi="Consolas"/>
                <w:sz w:val="20"/>
                <w:szCs w:val="20"/>
              </w:rPr>
            </w:pPr>
            <w:r w:rsidRPr="000905A1">
              <w:rPr>
                <w:rFonts w:ascii="Consolas" w:hAnsi="Consolas"/>
                <w:sz w:val="20"/>
                <w:szCs w:val="20"/>
              </w:rPr>
              <w:t>--</w:t>
            </w:r>
          </w:p>
        </w:tc>
      </w:tr>
      <w:tr w:rsidR="000905A1" w:rsidRPr="000905A1" w14:paraId="78D0A4B2" w14:textId="77777777" w:rsidTr="00E75ED2">
        <w:trPr>
          <w:trHeight w:val="138"/>
        </w:trPr>
        <w:tc>
          <w:tcPr>
            <w:tcW w:w="5954" w:type="dxa"/>
            <w:tcMar>
              <w:top w:w="0" w:type="dxa"/>
              <w:left w:w="108" w:type="dxa"/>
              <w:bottom w:w="0" w:type="dxa"/>
              <w:right w:w="108" w:type="dxa"/>
            </w:tcMar>
            <w:vAlign w:val="center"/>
            <w:hideMark/>
          </w:tcPr>
          <w:p w14:paraId="10D2B1C1" w14:textId="77777777" w:rsidR="000905A1" w:rsidRPr="000905A1" w:rsidRDefault="000905A1" w:rsidP="0080741C">
            <w:pPr>
              <w:spacing w:after="100"/>
              <w:rPr>
                <w:rFonts w:ascii="Consolas" w:hAnsi="Consolas"/>
                <w:sz w:val="20"/>
                <w:szCs w:val="20"/>
              </w:rPr>
            </w:pPr>
            <w:r w:rsidRPr="000905A1">
              <w:rPr>
                <w:rFonts w:ascii="Consolas" w:hAnsi="Consolas"/>
                <w:sz w:val="20"/>
                <w:szCs w:val="20"/>
              </w:rPr>
              <w:t>Maliyyə-iqtisadi əsaslandırılma</w:t>
            </w:r>
          </w:p>
        </w:tc>
        <w:tc>
          <w:tcPr>
            <w:tcW w:w="4252" w:type="dxa"/>
            <w:tcMar>
              <w:top w:w="0" w:type="dxa"/>
              <w:left w:w="108" w:type="dxa"/>
              <w:bottom w:w="0" w:type="dxa"/>
              <w:right w:w="108" w:type="dxa"/>
            </w:tcMar>
            <w:vAlign w:val="center"/>
            <w:hideMark/>
          </w:tcPr>
          <w:p w14:paraId="7DF9F248" w14:textId="120478AA" w:rsidR="000905A1" w:rsidRPr="000905A1" w:rsidRDefault="0080741C" w:rsidP="0080741C">
            <w:pPr>
              <w:spacing w:after="100"/>
              <w:rPr>
                <w:rFonts w:ascii="Consolas" w:hAnsi="Consolas"/>
                <w:sz w:val="20"/>
                <w:szCs w:val="20"/>
              </w:rPr>
            </w:pPr>
            <w:r w:rsidRPr="000905A1">
              <w:rPr>
                <w:rFonts w:ascii="Consolas" w:hAnsi="Consolas"/>
                <w:noProof/>
                <w:sz w:val="20"/>
                <w:szCs w:val="20"/>
              </w:rPr>
              <w:drawing>
                <wp:inline distT="0" distB="0" distL="0" distR="0" wp14:anchorId="6DA9355A" wp14:editId="5095D7AA">
                  <wp:extent cx="200025" cy="200025"/>
                  <wp:effectExtent l="0" t="0" r="9525" b="9525"/>
                  <wp:docPr id="204300352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r:link="rId9">
                            <a:grayscl/>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r>
      <w:tr w:rsidR="000905A1" w:rsidRPr="000905A1" w14:paraId="623EDABE" w14:textId="77777777" w:rsidTr="00E75ED2">
        <w:trPr>
          <w:trHeight w:val="60"/>
        </w:trPr>
        <w:tc>
          <w:tcPr>
            <w:tcW w:w="5954" w:type="dxa"/>
            <w:tcMar>
              <w:top w:w="0" w:type="dxa"/>
              <w:left w:w="108" w:type="dxa"/>
              <w:bottom w:w="0" w:type="dxa"/>
              <w:right w:w="108" w:type="dxa"/>
            </w:tcMar>
            <w:vAlign w:val="center"/>
            <w:hideMark/>
          </w:tcPr>
          <w:p w14:paraId="774B3A45" w14:textId="77777777" w:rsidR="000905A1" w:rsidRPr="000905A1" w:rsidRDefault="000905A1" w:rsidP="0080741C">
            <w:pPr>
              <w:spacing w:after="100"/>
              <w:rPr>
                <w:rFonts w:ascii="Consolas" w:hAnsi="Consolas"/>
                <w:sz w:val="20"/>
                <w:szCs w:val="20"/>
              </w:rPr>
            </w:pPr>
            <w:r w:rsidRPr="000905A1">
              <w:rPr>
                <w:rFonts w:ascii="Consolas" w:hAnsi="Consolas"/>
                <w:sz w:val="20"/>
                <w:szCs w:val="20"/>
              </w:rPr>
              <w:t>Müşayiət məktubu</w:t>
            </w:r>
          </w:p>
        </w:tc>
        <w:tc>
          <w:tcPr>
            <w:tcW w:w="4252" w:type="dxa"/>
            <w:tcMar>
              <w:top w:w="0" w:type="dxa"/>
              <w:left w:w="108" w:type="dxa"/>
              <w:bottom w:w="0" w:type="dxa"/>
              <w:right w:w="108" w:type="dxa"/>
            </w:tcMar>
            <w:vAlign w:val="center"/>
            <w:hideMark/>
          </w:tcPr>
          <w:p w14:paraId="1C0761C7" w14:textId="39D015EC" w:rsidR="000905A1" w:rsidRPr="000905A1" w:rsidRDefault="0080741C" w:rsidP="0080741C">
            <w:pPr>
              <w:spacing w:after="100"/>
              <w:rPr>
                <w:rFonts w:ascii="Consolas" w:hAnsi="Consolas"/>
                <w:sz w:val="20"/>
                <w:szCs w:val="20"/>
              </w:rPr>
            </w:pPr>
            <w:r w:rsidRPr="000905A1">
              <w:rPr>
                <w:rFonts w:ascii="Consolas" w:hAnsi="Consolas"/>
                <w:noProof/>
                <w:sz w:val="20"/>
                <w:szCs w:val="20"/>
              </w:rPr>
              <w:drawing>
                <wp:inline distT="0" distB="0" distL="0" distR="0" wp14:anchorId="0DF8909B" wp14:editId="7EE5C3BD">
                  <wp:extent cx="219075" cy="219075"/>
                  <wp:effectExtent l="0" t="0" r="9525" b="9525"/>
                  <wp:docPr id="126486682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r:link="rId7">
                            <a:grayscl/>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r>
      <w:tr w:rsidR="000905A1" w:rsidRPr="000905A1" w14:paraId="2D543256" w14:textId="77777777" w:rsidTr="00E75ED2">
        <w:trPr>
          <w:trHeight w:val="146"/>
        </w:trPr>
        <w:tc>
          <w:tcPr>
            <w:tcW w:w="5954" w:type="dxa"/>
            <w:tcMar>
              <w:top w:w="0" w:type="dxa"/>
              <w:left w:w="108" w:type="dxa"/>
              <w:bottom w:w="0" w:type="dxa"/>
              <w:right w:w="108" w:type="dxa"/>
            </w:tcMar>
            <w:vAlign w:val="center"/>
            <w:hideMark/>
          </w:tcPr>
          <w:p w14:paraId="205AA7DB" w14:textId="77777777" w:rsidR="000905A1" w:rsidRPr="000905A1" w:rsidRDefault="000905A1" w:rsidP="0080741C">
            <w:pPr>
              <w:spacing w:after="100"/>
              <w:rPr>
                <w:rFonts w:ascii="Consolas" w:hAnsi="Consolas"/>
                <w:sz w:val="20"/>
                <w:szCs w:val="20"/>
              </w:rPr>
            </w:pPr>
            <w:r w:rsidRPr="000905A1">
              <w:rPr>
                <w:rFonts w:ascii="Consolas" w:hAnsi="Consolas"/>
                <w:sz w:val="20"/>
                <w:szCs w:val="20"/>
              </w:rPr>
              <w:t>Hüquqi ekspertiza rəyi (rəyləri)</w:t>
            </w:r>
          </w:p>
        </w:tc>
        <w:tc>
          <w:tcPr>
            <w:tcW w:w="4252" w:type="dxa"/>
            <w:tcMar>
              <w:top w:w="0" w:type="dxa"/>
              <w:left w:w="108" w:type="dxa"/>
              <w:bottom w:w="0" w:type="dxa"/>
              <w:right w:w="108" w:type="dxa"/>
            </w:tcMar>
            <w:vAlign w:val="center"/>
            <w:hideMark/>
          </w:tcPr>
          <w:p w14:paraId="50E64790" w14:textId="2B9DDEDD" w:rsidR="000905A1" w:rsidRPr="000905A1" w:rsidRDefault="0080741C" w:rsidP="0080741C">
            <w:pPr>
              <w:spacing w:after="100"/>
              <w:rPr>
                <w:rFonts w:ascii="Consolas" w:hAnsi="Consolas"/>
                <w:sz w:val="20"/>
                <w:szCs w:val="20"/>
              </w:rPr>
            </w:pPr>
            <w:r w:rsidRPr="000905A1">
              <w:rPr>
                <w:rFonts w:ascii="Consolas" w:hAnsi="Consolas"/>
                <w:noProof/>
                <w:sz w:val="20"/>
                <w:szCs w:val="20"/>
              </w:rPr>
              <w:drawing>
                <wp:inline distT="0" distB="0" distL="0" distR="0" wp14:anchorId="61FC4DA9" wp14:editId="627B9355">
                  <wp:extent cx="219075" cy="219075"/>
                  <wp:effectExtent l="0" t="0" r="9525" b="9525"/>
                  <wp:docPr id="166480197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r:link="rId7">
                            <a:grayscl/>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r>
      <w:tr w:rsidR="000905A1" w:rsidRPr="000905A1" w14:paraId="487D4EE9" w14:textId="77777777" w:rsidTr="00E75ED2">
        <w:trPr>
          <w:trHeight w:val="167"/>
        </w:trPr>
        <w:tc>
          <w:tcPr>
            <w:tcW w:w="5954" w:type="dxa"/>
            <w:tcMar>
              <w:top w:w="0" w:type="dxa"/>
              <w:left w:w="108" w:type="dxa"/>
              <w:bottom w:w="0" w:type="dxa"/>
              <w:right w:w="108" w:type="dxa"/>
            </w:tcMar>
            <w:vAlign w:val="center"/>
            <w:hideMark/>
          </w:tcPr>
          <w:p w14:paraId="121BCA9D" w14:textId="77777777" w:rsidR="000905A1" w:rsidRPr="000905A1" w:rsidRDefault="000905A1" w:rsidP="0080741C">
            <w:pPr>
              <w:spacing w:after="100"/>
              <w:rPr>
                <w:rFonts w:ascii="Consolas" w:hAnsi="Consolas"/>
                <w:sz w:val="20"/>
                <w:szCs w:val="20"/>
              </w:rPr>
            </w:pPr>
            <w:r w:rsidRPr="000905A1">
              <w:rPr>
                <w:rFonts w:ascii="Consolas" w:hAnsi="Consolas"/>
                <w:sz w:val="20"/>
                <w:szCs w:val="20"/>
              </w:rPr>
              <w:t>Uyğunluğunun təmini haqqında arayış</w:t>
            </w:r>
          </w:p>
        </w:tc>
        <w:tc>
          <w:tcPr>
            <w:tcW w:w="4252" w:type="dxa"/>
            <w:tcMar>
              <w:top w:w="0" w:type="dxa"/>
              <w:left w:w="108" w:type="dxa"/>
              <w:bottom w:w="0" w:type="dxa"/>
              <w:right w:w="108" w:type="dxa"/>
            </w:tcMar>
            <w:vAlign w:val="center"/>
            <w:hideMark/>
          </w:tcPr>
          <w:p w14:paraId="4F389372" w14:textId="2EB610AA" w:rsidR="000905A1" w:rsidRPr="000905A1" w:rsidRDefault="0080741C" w:rsidP="0080741C">
            <w:pPr>
              <w:spacing w:after="100"/>
              <w:rPr>
                <w:rFonts w:ascii="Consolas" w:hAnsi="Consolas"/>
                <w:sz w:val="20"/>
                <w:szCs w:val="20"/>
              </w:rPr>
            </w:pPr>
            <w:r w:rsidRPr="000905A1">
              <w:rPr>
                <w:rFonts w:ascii="Consolas" w:hAnsi="Consolas"/>
                <w:noProof/>
                <w:sz w:val="20"/>
                <w:szCs w:val="20"/>
              </w:rPr>
              <w:drawing>
                <wp:inline distT="0" distB="0" distL="0" distR="0" wp14:anchorId="4BE04AD9" wp14:editId="19AA0C12">
                  <wp:extent cx="219075" cy="219075"/>
                  <wp:effectExtent l="0" t="0" r="9525" b="9525"/>
                  <wp:docPr id="555967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r:link="rId7">
                            <a:grayscl/>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r>
      <w:tr w:rsidR="000905A1" w:rsidRPr="000905A1" w14:paraId="0C5EFF01" w14:textId="77777777" w:rsidTr="00E75ED2">
        <w:trPr>
          <w:trHeight w:val="189"/>
        </w:trPr>
        <w:tc>
          <w:tcPr>
            <w:tcW w:w="5954" w:type="dxa"/>
            <w:tcMar>
              <w:top w:w="0" w:type="dxa"/>
              <w:left w:w="108" w:type="dxa"/>
              <w:bottom w:w="0" w:type="dxa"/>
              <w:right w:w="108" w:type="dxa"/>
            </w:tcMar>
            <w:vAlign w:val="center"/>
            <w:hideMark/>
          </w:tcPr>
          <w:p w14:paraId="0A4919F6" w14:textId="6A2C80E4" w:rsidR="000905A1" w:rsidRPr="000905A1" w:rsidRDefault="000905A1" w:rsidP="0080741C">
            <w:pPr>
              <w:spacing w:after="100"/>
              <w:rPr>
                <w:rFonts w:ascii="Consolas" w:hAnsi="Consolas"/>
                <w:sz w:val="20"/>
                <w:szCs w:val="20"/>
              </w:rPr>
            </w:pPr>
            <w:r w:rsidRPr="000905A1">
              <w:rPr>
                <w:rFonts w:ascii="Consolas" w:hAnsi="Consolas"/>
                <w:sz w:val="20"/>
                <w:szCs w:val="20"/>
              </w:rPr>
              <w:t>Layihənin razılaşdırılması (vizalanması) haqqında məlumatı əks etdirən sənədlər</w:t>
            </w:r>
          </w:p>
        </w:tc>
        <w:tc>
          <w:tcPr>
            <w:tcW w:w="4252" w:type="dxa"/>
            <w:tcMar>
              <w:top w:w="0" w:type="dxa"/>
              <w:left w:w="108" w:type="dxa"/>
              <w:bottom w:w="0" w:type="dxa"/>
              <w:right w:w="108" w:type="dxa"/>
            </w:tcMar>
            <w:vAlign w:val="center"/>
            <w:hideMark/>
          </w:tcPr>
          <w:p w14:paraId="3175B9A0" w14:textId="2AC4A60B" w:rsidR="000905A1" w:rsidRPr="000905A1" w:rsidRDefault="0080741C" w:rsidP="0080741C">
            <w:pPr>
              <w:spacing w:after="100"/>
              <w:rPr>
                <w:rFonts w:ascii="Consolas" w:hAnsi="Consolas"/>
                <w:sz w:val="20"/>
                <w:szCs w:val="20"/>
              </w:rPr>
            </w:pPr>
            <w:r w:rsidRPr="000905A1">
              <w:rPr>
                <w:rFonts w:ascii="Consolas" w:hAnsi="Consolas"/>
                <w:noProof/>
                <w:sz w:val="20"/>
                <w:szCs w:val="20"/>
              </w:rPr>
              <w:drawing>
                <wp:inline distT="0" distB="0" distL="0" distR="0" wp14:anchorId="6FB24BC9" wp14:editId="5522AF90">
                  <wp:extent cx="219075" cy="219075"/>
                  <wp:effectExtent l="0" t="0" r="9525" b="9525"/>
                  <wp:docPr id="202184237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r:link="rId7">
                            <a:grayscl/>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r>
      <w:tr w:rsidR="000905A1" w:rsidRPr="000905A1" w14:paraId="13F8B576" w14:textId="77777777" w:rsidTr="00E75ED2">
        <w:trPr>
          <w:trHeight w:val="60"/>
        </w:trPr>
        <w:tc>
          <w:tcPr>
            <w:tcW w:w="5954" w:type="dxa"/>
            <w:tcMar>
              <w:top w:w="0" w:type="dxa"/>
              <w:left w:w="108" w:type="dxa"/>
              <w:bottom w:w="0" w:type="dxa"/>
              <w:right w:w="108" w:type="dxa"/>
            </w:tcMar>
            <w:vAlign w:val="center"/>
            <w:hideMark/>
          </w:tcPr>
          <w:p w14:paraId="33696E9B" w14:textId="77777777" w:rsidR="000905A1" w:rsidRPr="000905A1" w:rsidRDefault="000905A1" w:rsidP="0080741C">
            <w:pPr>
              <w:spacing w:after="100"/>
              <w:rPr>
                <w:rFonts w:ascii="Consolas" w:hAnsi="Consolas"/>
                <w:sz w:val="20"/>
                <w:szCs w:val="20"/>
              </w:rPr>
            </w:pPr>
            <w:r w:rsidRPr="000905A1">
              <w:rPr>
                <w:rFonts w:ascii="Consolas" w:hAnsi="Consolas"/>
                <w:sz w:val="20"/>
                <w:szCs w:val="20"/>
              </w:rPr>
              <w:t>Layihəyə dair ekspert rəyləri</w:t>
            </w:r>
          </w:p>
        </w:tc>
        <w:tc>
          <w:tcPr>
            <w:tcW w:w="4252" w:type="dxa"/>
            <w:tcMar>
              <w:top w:w="0" w:type="dxa"/>
              <w:left w:w="108" w:type="dxa"/>
              <w:bottom w:w="0" w:type="dxa"/>
              <w:right w:w="108" w:type="dxa"/>
            </w:tcMar>
            <w:vAlign w:val="center"/>
            <w:hideMark/>
          </w:tcPr>
          <w:p w14:paraId="6EC4EE59" w14:textId="30C9FD30" w:rsidR="000905A1" w:rsidRPr="000905A1" w:rsidRDefault="000905A1" w:rsidP="0080741C">
            <w:pPr>
              <w:spacing w:after="100"/>
              <w:rPr>
                <w:rFonts w:ascii="Consolas" w:hAnsi="Consolas"/>
                <w:sz w:val="20"/>
                <w:szCs w:val="20"/>
              </w:rPr>
            </w:pPr>
            <w:r w:rsidRPr="000905A1">
              <w:rPr>
                <w:rFonts w:ascii="Consolas" w:hAnsi="Consolas"/>
                <w:sz w:val="20"/>
                <w:szCs w:val="20"/>
              </w:rPr>
              <w:t>--</w:t>
            </w:r>
          </w:p>
        </w:tc>
      </w:tr>
      <w:tr w:rsidR="000905A1" w:rsidRPr="000905A1" w14:paraId="11352DB8" w14:textId="77777777" w:rsidTr="00E75ED2">
        <w:trPr>
          <w:trHeight w:val="233"/>
        </w:trPr>
        <w:tc>
          <w:tcPr>
            <w:tcW w:w="5954" w:type="dxa"/>
            <w:tcMar>
              <w:top w:w="0" w:type="dxa"/>
              <w:left w:w="108" w:type="dxa"/>
              <w:bottom w:w="0" w:type="dxa"/>
              <w:right w:w="108" w:type="dxa"/>
            </w:tcMar>
            <w:vAlign w:val="center"/>
            <w:hideMark/>
          </w:tcPr>
          <w:p w14:paraId="47561D59" w14:textId="77777777" w:rsidR="000905A1" w:rsidRPr="000905A1" w:rsidRDefault="000905A1" w:rsidP="0080741C">
            <w:pPr>
              <w:spacing w:after="100"/>
              <w:rPr>
                <w:rFonts w:ascii="Consolas" w:hAnsi="Consolas"/>
                <w:sz w:val="20"/>
                <w:szCs w:val="20"/>
              </w:rPr>
            </w:pPr>
            <w:r w:rsidRPr="000905A1">
              <w:rPr>
                <w:rFonts w:ascii="Consolas" w:hAnsi="Consolas"/>
                <w:sz w:val="20"/>
                <w:szCs w:val="20"/>
              </w:rPr>
              <w:t>Layihəni hazırlamış şəxslərin siyahısı</w:t>
            </w:r>
          </w:p>
        </w:tc>
        <w:tc>
          <w:tcPr>
            <w:tcW w:w="4252" w:type="dxa"/>
            <w:tcMar>
              <w:top w:w="0" w:type="dxa"/>
              <w:left w:w="108" w:type="dxa"/>
              <w:bottom w:w="0" w:type="dxa"/>
              <w:right w:w="108" w:type="dxa"/>
            </w:tcMar>
            <w:vAlign w:val="center"/>
            <w:hideMark/>
          </w:tcPr>
          <w:p w14:paraId="4DB0C2FC" w14:textId="3F38F152" w:rsidR="000905A1" w:rsidRPr="000905A1" w:rsidRDefault="0080741C" w:rsidP="0080741C">
            <w:pPr>
              <w:spacing w:after="100"/>
              <w:rPr>
                <w:rFonts w:ascii="Consolas" w:hAnsi="Consolas"/>
                <w:sz w:val="20"/>
                <w:szCs w:val="20"/>
              </w:rPr>
            </w:pPr>
            <w:r w:rsidRPr="000905A1">
              <w:rPr>
                <w:rFonts w:ascii="Consolas" w:hAnsi="Consolas"/>
                <w:noProof/>
                <w:sz w:val="20"/>
                <w:szCs w:val="20"/>
              </w:rPr>
              <w:drawing>
                <wp:inline distT="0" distB="0" distL="0" distR="0" wp14:anchorId="44815C2D" wp14:editId="068EAE62">
                  <wp:extent cx="219075" cy="219075"/>
                  <wp:effectExtent l="0" t="0" r="9525" b="9525"/>
                  <wp:docPr id="2880790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r:link="rId7">
                            <a:grayscl/>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r>
      <w:tr w:rsidR="000905A1" w:rsidRPr="000905A1" w14:paraId="67EA64F5" w14:textId="77777777" w:rsidTr="00E75ED2">
        <w:trPr>
          <w:trHeight w:val="284"/>
        </w:trPr>
        <w:tc>
          <w:tcPr>
            <w:tcW w:w="5954" w:type="dxa"/>
            <w:tcMar>
              <w:top w:w="0" w:type="dxa"/>
              <w:left w:w="108" w:type="dxa"/>
              <w:bottom w:w="0" w:type="dxa"/>
              <w:right w:w="108" w:type="dxa"/>
            </w:tcMar>
            <w:vAlign w:val="center"/>
            <w:hideMark/>
          </w:tcPr>
          <w:p w14:paraId="40279C19" w14:textId="5002D7CE" w:rsidR="000905A1" w:rsidRPr="000905A1" w:rsidRDefault="000905A1" w:rsidP="0080741C">
            <w:pPr>
              <w:spacing w:after="100"/>
              <w:rPr>
                <w:rFonts w:ascii="Consolas" w:hAnsi="Consolas"/>
                <w:sz w:val="20"/>
                <w:szCs w:val="20"/>
              </w:rPr>
            </w:pPr>
            <w:r w:rsidRPr="000905A1">
              <w:rPr>
                <w:rFonts w:ascii="Consolas" w:hAnsi="Consolas"/>
                <w:sz w:val="20"/>
                <w:szCs w:val="20"/>
              </w:rPr>
              <w:t>Milli Məclisin aidiyyəti iclaslarının stenoqramları</w:t>
            </w:r>
          </w:p>
        </w:tc>
        <w:tc>
          <w:tcPr>
            <w:tcW w:w="4252" w:type="dxa"/>
            <w:tcMar>
              <w:top w:w="0" w:type="dxa"/>
              <w:left w:w="108" w:type="dxa"/>
              <w:bottom w:w="0" w:type="dxa"/>
              <w:right w:w="108" w:type="dxa"/>
            </w:tcMar>
            <w:vAlign w:val="center"/>
            <w:hideMark/>
          </w:tcPr>
          <w:p w14:paraId="4A9C4406" w14:textId="173CA49E" w:rsidR="000905A1" w:rsidRPr="000905A1" w:rsidRDefault="0080741C" w:rsidP="0080741C">
            <w:pPr>
              <w:spacing w:after="100"/>
              <w:rPr>
                <w:rFonts w:ascii="Consolas" w:hAnsi="Consolas"/>
                <w:sz w:val="20"/>
                <w:szCs w:val="20"/>
              </w:rPr>
            </w:pPr>
            <w:r w:rsidRPr="000905A1">
              <w:rPr>
                <w:rFonts w:ascii="Consolas" w:hAnsi="Consolas"/>
                <w:noProof/>
                <w:sz w:val="20"/>
                <w:szCs w:val="20"/>
              </w:rPr>
              <w:drawing>
                <wp:inline distT="0" distB="0" distL="0" distR="0" wp14:anchorId="7F73BC30" wp14:editId="0C840177">
                  <wp:extent cx="219075" cy="219075"/>
                  <wp:effectExtent l="0" t="0" r="9525" b="9525"/>
                  <wp:docPr id="195451511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r:link="rId7">
                            <a:grayscl/>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0905A1">
              <w:rPr>
                <w:rFonts w:ascii="Consolas" w:hAnsi="Consolas"/>
                <w:noProof/>
                <w:sz w:val="20"/>
                <w:szCs w:val="20"/>
              </w:rPr>
              <w:drawing>
                <wp:inline distT="0" distB="0" distL="0" distR="0" wp14:anchorId="777CEA02" wp14:editId="0E2A3D40">
                  <wp:extent cx="219075" cy="219075"/>
                  <wp:effectExtent l="0" t="0" r="9525" b="9525"/>
                  <wp:docPr id="45416019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r:link="rId7">
                            <a:grayscl/>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0905A1">
              <w:rPr>
                <w:rFonts w:ascii="Consolas" w:hAnsi="Consolas"/>
                <w:noProof/>
                <w:sz w:val="20"/>
                <w:szCs w:val="20"/>
              </w:rPr>
              <w:drawing>
                <wp:inline distT="0" distB="0" distL="0" distR="0" wp14:anchorId="3464E09D" wp14:editId="1D09C42C">
                  <wp:extent cx="219075" cy="219075"/>
                  <wp:effectExtent l="0" t="0" r="9525" b="9525"/>
                  <wp:docPr id="42974405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r:link="rId7">
                            <a:grayscl/>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r>
      <w:tr w:rsidR="000905A1" w:rsidRPr="000905A1" w14:paraId="4D996EF1" w14:textId="77777777" w:rsidTr="00E75ED2">
        <w:trPr>
          <w:trHeight w:val="179"/>
        </w:trPr>
        <w:tc>
          <w:tcPr>
            <w:tcW w:w="5954" w:type="dxa"/>
            <w:tcMar>
              <w:top w:w="0" w:type="dxa"/>
              <w:left w:w="108" w:type="dxa"/>
              <w:bottom w:w="0" w:type="dxa"/>
              <w:right w:w="108" w:type="dxa"/>
            </w:tcMar>
            <w:vAlign w:val="center"/>
            <w:hideMark/>
          </w:tcPr>
          <w:p w14:paraId="262FEF7C" w14:textId="77777777" w:rsidR="000905A1" w:rsidRPr="000905A1" w:rsidRDefault="000905A1" w:rsidP="0080741C">
            <w:pPr>
              <w:spacing w:after="100"/>
              <w:rPr>
                <w:rFonts w:ascii="Consolas" w:hAnsi="Consolas"/>
                <w:sz w:val="20"/>
                <w:szCs w:val="20"/>
              </w:rPr>
            </w:pPr>
            <w:r w:rsidRPr="000905A1">
              <w:rPr>
                <w:rFonts w:ascii="Consolas" w:hAnsi="Consolas"/>
                <w:sz w:val="20"/>
                <w:szCs w:val="20"/>
              </w:rPr>
              <w:t>Milli Məclisin komitələrinin iclas protokolları</w:t>
            </w:r>
          </w:p>
        </w:tc>
        <w:tc>
          <w:tcPr>
            <w:tcW w:w="4252" w:type="dxa"/>
            <w:tcMar>
              <w:top w:w="0" w:type="dxa"/>
              <w:left w:w="108" w:type="dxa"/>
              <w:bottom w:w="0" w:type="dxa"/>
              <w:right w:w="108" w:type="dxa"/>
            </w:tcMar>
            <w:vAlign w:val="center"/>
            <w:hideMark/>
          </w:tcPr>
          <w:p w14:paraId="180331C7" w14:textId="3D3BEA72" w:rsidR="000905A1" w:rsidRPr="000905A1" w:rsidRDefault="0080741C" w:rsidP="0080741C">
            <w:pPr>
              <w:spacing w:after="100"/>
              <w:rPr>
                <w:rFonts w:ascii="Consolas" w:hAnsi="Consolas"/>
                <w:sz w:val="20"/>
                <w:szCs w:val="20"/>
              </w:rPr>
            </w:pPr>
            <w:r w:rsidRPr="000905A1">
              <w:rPr>
                <w:rFonts w:ascii="Consolas" w:hAnsi="Consolas"/>
                <w:noProof/>
                <w:sz w:val="20"/>
                <w:szCs w:val="20"/>
              </w:rPr>
              <w:drawing>
                <wp:inline distT="0" distB="0" distL="0" distR="0" wp14:anchorId="5336E089" wp14:editId="3E9DE27E">
                  <wp:extent cx="219075" cy="219075"/>
                  <wp:effectExtent l="0" t="0" r="9525" b="9525"/>
                  <wp:docPr id="37199477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r:link="rId7">
                            <a:grayscl/>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r>
      <w:tr w:rsidR="000905A1" w:rsidRPr="000905A1" w14:paraId="6F4A8DAF" w14:textId="77777777" w:rsidTr="00E75ED2">
        <w:trPr>
          <w:trHeight w:val="60"/>
        </w:trPr>
        <w:tc>
          <w:tcPr>
            <w:tcW w:w="5954" w:type="dxa"/>
            <w:tcMar>
              <w:top w:w="0" w:type="dxa"/>
              <w:left w:w="108" w:type="dxa"/>
              <w:bottom w:w="0" w:type="dxa"/>
              <w:right w:w="108" w:type="dxa"/>
            </w:tcMar>
            <w:vAlign w:val="center"/>
            <w:hideMark/>
          </w:tcPr>
          <w:p w14:paraId="1241F09D" w14:textId="77777777" w:rsidR="000905A1" w:rsidRPr="000905A1" w:rsidRDefault="000905A1" w:rsidP="0080741C">
            <w:pPr>
              <w:spacing w:after="100"/>
              <w:rPr>
                <w:rFonts w:ascii="Consolas" w:hAnsi="Consolas"/>
                <w:sz w:val="20"/>
                <w:szCs w:val="20"/>
              </w:rPr>
            </w:pPr>
            <w:r w:rsidRPr="000905A1">
              <w:rPr>
                <w:rFonts w:ascii="Consolas" w:hAnsi="Consolas"/>
                <w:sz w:val="20"/>
                <w:szCs w:val="20"/>
              </w:rPr>
              <w:t>Layihəyə aid digər sənədlər</w:t>
            </w:r>
          </w:p>
        </w:tc>
        <w:tc>
          <w:tcPr>
            <w:tcW w:w="4252" w:type="dxa"/>
            <w:tcMar>
              <w:top w:w="0" w:type="dxa"/>
              <w:left w:w="108" w:type="dxa"/>
              <w:bottom w:w="0" w:type="dxa"/>
              <w:right w:w="108" w:type="dxa"/>
            </w:tcMar>
            <w:vAlign w:val="center"/>
            <w:hideMark/>
          </w:tcPr>
          <w:p w14:paraId="06B88171" w14:textId="181DCA9D" w:rsidR="000905A1" w:rsidRPr="000905A1" w:rsidRDefault="000905A1" w:rsidP="0080741C">
            <w:pPr>
              <w:spacing w:after="100"/>
              <w:rPr>
                <w:rFonts w:ascii="Consolas" w:hAnsi="Consolas"/>
                <w:sz w:val="20"/>
                <w:szCs w:val="20"/>
              </w:rPr>
            </w:pPr>
            <w:r w:rsidRPr="000905A1">
              <w:rPr>
                <w:rFonts w:ascii="Consolas" w:hAnsi="Consolas"/>
                <w:sz w:val="20"/>
                <w:szCs w:val="20"/>
              </w:rPr>
              <w:t>--</w:t>
            </w:r>
          </w:p>
        </w:tc>
      </w:tr>
    </w:tbl>
    <w:p w14:paraId="1A2A7746" w14:textId="77777777" w:rsidR="000905A1" w:rsidRPr="000905A1" w:rsidRDefault="000905A1" w:rsidP="0080741C">
      <w:pPr>
        <w:spacing w:after="100"/>
        <w:rPr>
          <w:rFonts w:ascii="Consolas" w:hAnsi="Consolas"/>
          <w:sz w:val="20"/>
          <w:szCs w:val="20"/>
        </w:rPr>
      </w:pPr>
    </w:p>
    <w:p w14:paraId="15E2476F" w14:textId="6FD612D0" w:rsidR="000905A1" w:rsidRDefault="000905A1" w:rsidP="004D0295">
      <w:pPr>
        <w:numPr>
          <w:ilvl w:val="0"/>
          <w:numId w:val="1"/>
        </w:numPr>
        <w:spacing w:after="100"/>
        <w:ind w:left="360"/>
        <w:jc w:val="both"/>
        <w:rPr>
          <w:rFonts w:ascii="Consolas" w:hAnsi="Consolas"/>
          <w:sz w:val="20"/>
          <w:szCs w:val="20"/>
        </w:rPr>
      </w:pPr>
      <w:r w:rsidRPr="000905A1">
        <w:rPr>
          <w:rFonts w:ascii="Consolas" w:hAnsi="Consolas"/>
          <w:sz w:val="20"/>
          <w:szCs w:val="20"/>
        </w:rPr>
        <w:t xml:space="preserve">Elektron axtarış sisteminə </w:t>
      </w:r>
      <w:r w:rsidRPr="000905A1">
        <w:rPr>
          <w:rFonts w:ascii="Consolas" w:hAnsi="Consolas"/>
          <w:b/>
          <w:bCs/>
          <w:sz w:val="20"/>
          <w:szCs w:val="20"/>
        </w:rPr>
        <w:t>sənədlərin toplanması</w:t>
      </w:r>
      <w:r w:rsidRPr="000905A1">
        <w:rPr>
          <w:rFonts w:ascii="Consolas" w:hAnsi="Consolas"/>
          <w:sz w:val="20"/>
          <w:szCs w:val="20"/>
        </w:rPr>
        <w:t xml:space="preserve"> ilə əlaqədar qeyd edilməlidir ki, </w:t>
      </w:r>
      <w:r w:rsidRPr="000905A1">
        <w:rPr>
          <w:rFonts w:ascii="Consolas" w:hAnsi="Consolas"/>
          <w:b/>
          <w:bCs/>
          <w:sz w:val="20"/>
          <w:szCs w:val="20"/>
        </w:rPr>
        <w:t>yeni NHA-lara münasibətdə</w:t>
      </w:r>
      <w:r w:rsidRPr="000905A1">
        <w:rPr>
          <w:rFonts w:ascii="Consolas" w:hAnsi="Consolas"/>
          <w:sz w:val="20"/>
          <w:szCs w:val="20"/>
        </w:rPr>
        <w:t xml:space="preserve"> əksər sənədlərin </w:t>
      </w:r>
      <w:bookmarkStart w:id="2" w:name="_Hlk183191465"/>
      <w:r w:rsidRPr="000905A1">
        <w:rPr>
          <w:rFonts w:ascii="Consolas" w:hAnsi="Consolas"/>
          <w:sz w:val="20"/>
          <w:szCs w:val="20"/>
        </w:rPr>
        <w:t xml:space="preserve">“Normativ hüquqi aktlar” informasiya sistemindən </w:t>
      </w:r>
      <w:bookmarkEnd w:id="2"/>
      <w:r w:rsidRPr="000905A1">
        <w:rPr>
          <w:rFonts w:ascii="Consolas" w:hAnsi="Consolas"/>
          <w:sz w:val="20"/>
          <w:szCs w:val="20"/>
        </w:rPr>
        <w:t xml:space="preserve">götürülməsi təmin oluna bilər. Hesab edirik ki, bunun üçün Mərkəzin nizamnaməsində və “Normativ hüquqi aktlar” informasiya sistemi haqqında Əsasnamədə müvafiq sənədlərin Mərkəz tərəfindən toplanmasının təmin edilməsi ilə əlaqədar müvafiq dəyişikliyin edilməsi zəruri ola bilər. </w:t>
      </w:r>
    </w:p>
    <w:p w14:paraId="50621F96" w14:textId="77777777" w:rsidR="0080741C" w:rsidRPr="00E75ED2" w:rsidRDefault="0080741C" w:rsidP="0080741C">
      <w:pPr>
        <w:spacing w:after="100"/>
        <w:ind w:left="360"/>
        <w:rPr>
          <w:rFonts w:ascii="Consolas" w:hAnsi="Consolas"/>
          <w:sz w:val="20"/>
          <w:szCs w:val="20"/>
        </w:rPr>
      </w:pPr>
    </w:p>
    <w:p w14:paraId="0688DE82" w14:textId="7C42CB7B" w:rsidR="000905A1" w:rsidRDefault="000905A1" w:rsidP="004D0295">
      <w:pPr>
        <w:numPr>
          <w:ilvl w:val="0"/>
          <w:numId w:val="1"/>
        </w:numPr>
        <w:spacing w:after="100"/>
        <w:ind w:left="360"/>
        <w:jc w:val="both"/>
        <w:rPr>
          <w:rFonts w:ascii="Consolas" w:hAnsi="Consolas"/>
          <w:sz w:val="20"/>
          <w:szCs w:val="20"/>
        </w:rPr>
      </w:pPr>
      <w:r w:rsidRPr="000905A1">
        <w:rPr>
          <w:rFonts w:ascii="Consolas" w:hAnsi="Consolas"/>
          <w:b/>
          <w:bCs/>
          <w:sz w:val="20"/>
          <w:szCs w:val="20"/>
        </w:rPr>
        <w:t>Köhnə NHA-lara münasibətdə</w:t>
      </w:r>
      <w:r w:rsidRPr="000905A1">
        <w:rPr>
          <w:rFonts w:ascii="Consolas" w:hAnsi="Consolas"/>
          <w:sz w:val="20"/>
          <w:szCs w:val="20"/>
        </w:rPr>
        <w:t xml:space="preserve"> elektron qaydada saxlanılan sənədlərin (i) xüsusi elektron İT cihazları </w:t>
      </w:r>
      <w:r w:rsidRPr="000905A1">
        <w:rPr>
          <w:rFonts w:ascii="Consolas" w:hAnsi="Consolas"/>
          <w:i/>
          <w:iCs/>
          <w:sz w:val="20"/>
          <w:szCs w:val="20"/>
        </w:rPr>
        <w:t>(“crawler”)</w:t>
      </w:r>
      <w:r w:rsidRPr="000905A1">
        <w:rPr>
          <w:rFonts w:ascii="Consolas" w:hAnsi="Consolas"/>
          <w:sz w:val="20"/>
          <w:szCs w:val="20"/>
        </w:rPr>
        <w:t xml:space="preserve"> vasitəsilə avtomatik toplanması və Mərkəzin elektron bazasına yüklənməsi mümkündür, yetər ki, Mərkəzin crawler cihazı üçün müvafiq sənədlərin saxlanıldığı elektron bazaya onun operatoru tərəfindən giriş icazəsi verilsin, və ya (ii) elektron daşıyıcılar (məsələn, flash drive) vasitəsilə Mərkəzin elektron bazasına yüklənməsi mümkündür. Yalnız kağız daşıyıcılarda olan sənədlər isə fiziki olaraq skan edildikdən, rəqəmsallaşdırıldıqdan və indeksləşdirildikdən sonra Mərkəzin elektron bazasında yerləşdirilə bilər. Bunun üçün həmin sənədlərin saxlanıldığı müvafiq dövlət orqanlarının arxivlərinə Mərkəzin əməkdaşlarının buraxılması zərurəti yarana bilər. Sənədlərin arxivlərdən fiziki toplanması işi üçün könüllülərin cəlb edilməsi də nəzərdən keçirilə bilər. </w:t>
      </w:r>
    </w:p>
    <w:p w14:paraId="6282BE80" w14:textId="77777777" w:rsidR="0080741C" w:rsidRPr="00E75ED2" w:rsidRDefault="0080741C" w:rsidP="0080741C">
      <w:pPr>
        <w:spacing w:after="100"/>
        <w:rPr>
          <w:rFonts w:ascii="Consolas" w:hAnsi="Consolas"/>
          <w:sz w:val="20"/>
          <w:szCs w:val="20"/>
        </w:rPr>
      </w:pPr>
    </w:p>
    <w:p w14:paraId="4BE6B3C0" w14:textId="37361C3A" w:rsidR="009D5369" w:rsidRPr="00E75ED2" w:rsidRDefault="000905A1" w:rsidP="004D0295">
      <w:pPr>
        <w:numPr>
          <w:ilvl w:val="0"/>
          <w:numId w:val="1"/>
        </w:numPr>
        <w:spacing w:after="100"/>
        <w:ind w:left="360"/>
        <w:jc w:val="both"/>
        <w:rPr>
          <w:rFonts w:ascii="Consolas" w:hAnsi="Consolas"/>
          <w:sz w:val="20"/>
          <w:szCs w:val="20"/>
        </w:rPr>
      </w:pPr>
      <w:r w:rsidRPr="000905A1">
        <w:rPr>
          <w:rFonts w:ascii="Consolas" w:hAnsi="Consolas"/>
          <w:b/>
          <w:bCs/>
          <w:sz w:val="20"/>
          <w:szCs w:val="20"/>
        </w:rPr>
        <w:t>Köhnə sənədlərin</w:t>
      </w:r>
      <w:r w:rsidRPr="000905A1">
        <w:rPr>
          <w:rFonts w:ascii="Consolas" w:hAnsi="Consolas"/>
          <w:sz w:val="20"/>
          <w:szCs w:val="20"/>
        </w:rPr>
        <w:t xml:space="preserve"> </w:t>
      </w:r>
      <w:r w:rsidRPr="000905A1">
        <w:rPr>
          <w:rFonts w:ascii="Consolas" w:hAnsi="Consolas"/>
          <w:b/>
          <w:bCs/>
          <w:sz w:val="20"/>
          <w:szCs w:val="20"/>
        </w:rPr>
        <w:t>toplanma ardıcıllığına</w:t>
      </w:r>
      <w:r w:rsidRPr="000905A1">
        <w:rPr>
          <w:rFonts w:ascii="Consolas" w:hAnsi="Consolas"/>
          <w:sz w:val="20"/>
          <w:szCs w:val="20"/>
        </w:rPr>
        <w:t xml:space="preserve"> gəldikdə isə, əvvəlcə daha yeni NHA-larla bağlı sənədlərin və tədricən daha köhnə sənədlərin toplanması nəzərdə tutulur.      </w:t>
      </w:r>
    </w:p>
    <w:p w14:paraId="6E184845" w14:textId="77777777" w:rsidR="000905A1" w:rsidRPr="00E75ED2" w:rsidRDefault="000905A1" w:rsidP="004D0295">
      <w:pPr>
        <w:numPr>
          <w:ilvl w:val="0"/>
          <w:numId w:val="1"/>
        </w:numPr>
        <w:spacing w:after="100"/>
        <w:ind w:left="360"/>
        <w:jc w:val="both"/>
        <w:rPr>
          <w:rFonts w:ascii="Consolas" w:hAnsi="Consolas"/>
          <w:sz w:val="20"/>
          <w:szCs w:val="20"/>
        </w:rPr>
      </w:pPr>
      <w:r w:rsidRPr="00E75ED2">
        <w:rPr>
          <w:rFonts w:ascii="Consolas" w:hAnsi="Consolas"/>
          <w:sz w:val="20"/>
          <w:szCs w:val="20"/>
        </w:rPr>
        <w:lastRenderedPageBreak/>
        <w:t>Əlavə olaraq, sözügedən elektron axtarış sisteminin</w:t>
      </w:r>
      <w:r w:rsidRPr="00E75ED2">
        <w:rPr>
          <w:rFonts w:ascii="Consolas" w:hAnsi="Consolas"/>
          <w:b/>
          <w:bCs/>
          <w:sz w:val="20"/>
          <w:szCs w:val="20"/>
        </w:rPr>
        <w:t xml:space="preserve"> </w:t>
      </w:r>
      <w:r w:rsidRPr="00E75ED2">
        <w:rPr>
          <w:rFonts w:ascii="Consolas" w:hAnsi="Consolas"/>
          <w:sz w:val="20"/>
          <w:szCs w:val="20"/>
        </w:rPr>
        <w:t xml:space="preserve">aşağıda göstərilən </w:t>
      </w:r>
      <w:r w:rsidRPr="00E75ED2">
        <w:rPr>
          <w:rFonts w:ascii="Consolas" w:hAnsi="Consolas"/>
          <w:b/>
          <w:bCs/>
          <w:sz w:val="20"/>
          <w:szCs w:val="20"/>
        </w:rPr>
        <w:t>ictimai faydalarını</w:t>
      </w:r>
      <w:r w:rsidRPr="00E75ED2">
        <w:rPr>
          <w:rFonts w:ascii="Consolas" w:hAnsi="Consolas"/>
          <w:sz w:val="20"/>
          <w:szCs w:val="20"/>
        </w:rPr>
        <w:t xml:space="preserve"> vurğulamağı zəruri hesab edirik:  </w:t>
      </w:r>
    </w:p>
    <w:p w14:paraId="3499645F" w14:textId="77777777" w:rsidR="000905A1" w:rsidRPr="000905A1" w:rsidRDefault="000905A1" w:rsidP="004D0295">
      <w:pPr>
        <w:numPr>
          <w:ilvl w:val="0"/>
          <w:numId w:val="3"/>
        </w:numPr>
        <w:spacing w:after="100"/>
        <w:ind w:left="360"/>
        <w:jc w:val="both"/>
        <w:rPr>
          <w:rFonts w:ascii="Consolas" w:hAnsi="Consolas"/>
          <w:sz w:val="20"/>
          <w:szCs w:val="20"/>
        </w:rPr>
      </w:pPr>
      <w:r w:rsidRPr="000905A1">
        <w:rPr>
          <w:rFonts w:ascii="Consolas" w:hAnsi="Consolas"/>
          <w:sz w:val="20"/>
          <w:szCs w:val="20"/>
        </w:rPr>
        <w:t xml:space="preserve">Sistemdəki sənədlərdən normayaratma fəaliyyətində iştirak edən şəxslər tərəfindən </w:t>
      </w:r>
      <w:r w:rsidRPr="000905A1">
        <w:rPr>
          <w:rFonts w:ascii="Consolas" w:hAnsi="Consolas"/>
          <w:i/>
          <w:iCs/>
          <w:sz w:val="20"/>
          <w:szCs w:val="20"/>
        </w:rPr>
        <w:t>nümunə</w:t>
      </w:r>
      <w:r w:rsidRPr="000905A1">
        <w:rPr>
          <w:rFonts w:ascii="Consolas" w:hAnsi="Consolas"/>
          <w:sz w:val="20"/>
          <w:szCs w:val="20"/>
        </w:rPr>
        <w:t xml:space="preserve"> kimi istifadə edilməsinin mümkünlüyü;</w:t>
      </w:r>
    </w:p>
    <w:p w14:paraId="7BAC5A2A" w14:textId="77777777" w:rsidR="000905A1" w:rsidRPr="000905A1" w:rsidRDefault="000905A1" w:rsidP="004D0295">
      <w:pPr>
        <w:numPr>
          <w:ilvl w:val="0"/>
          <w:numId w:val="3"/>
        </w:numPr>
        <w:spacing w:after="100"/>
        <w:ind w:left="360"/>
        <w:jc w:val="both"/>
        <w:rPr>
          <w:rFonts w:ascii="Consolas" w:hAnsi="Consolas"/>
          <w:sz w:val="20"/>
          <w:szCs w:val="20"/>
        </w:rPr>
      </w:pPr>
      <w:r w:rsidRPr="000905A1">
        <w:rPr>
          <w:rFonts w:ascii="Consolas" w:hAnsi="Consolas"/>
          <w:sz w:val="20"/>
          <w:szCs w:val="20"/>
        </w:rPr>
        <w:t xml:space="preserve">Hüquqi akta dəyişikliklər edilərkən həmin aktın arxasında duran </w:t>
      </w:r>
      <w:r w:rsidRPr="000905A1">
        <w:rPr>
          <w:rFonts w:ascii="Consolas" w:hAnsi="Consolas"/>
          <w:i/>
          <w:iCs/>
          <w:sz w:val="20"/>
          <w:szCs w:val="20"/>
        </w:rPr>
        <w:t>qanunvericinin niyyət və məqsədlərinin gözlənilməsi</w:t>
      </w:r>
      <w:r w:rsidRPr="000905A1">
        <w:rPr>
          <w:rFonts w:ascii="Consolas" w:hAnsi="Consolas"/>
          <w:sz w:val="20"/>
          <w:szCs w:val="20"/>
        </w:rPr>
        <w:t xml:space="preserve"> və ediləcək dəyişikliklərdə onların </w:t>
      </w:r>
      <w:r w:rsidRPr="000905A1">
        <w:rPr>
          <w:rFonts w:ascii="Consolas" w:hAnsi="Consolas"/>
          <w:i/>
          <w:iCs/>
          <w:sz w:val="20"/>
          <w:szCs w:val="20"/>
        </w:rPr>
        <w:t>təhrif edilməsi riskinin azaldılması</w:t>
      </w:r>
      <w:r w:rsidRPr="000905A1">
        <w:rPr>
          <w:rFonts w:ascii="Consolas" w:hAnsi="Consolas"/>
          <w:sz w:val="20"/>
          <w:szCs w:val="20"/>
        </w:rPr>
        <w:t xml:space="preserve">;  </w:t>
      </w:r>
    </w:p>
    <w:p w14:paraId="1E0BEC4E" w14:textId="77777777" w:rsidR="000905A1" w:rsidRPr="000905A1" w:rsidRDefault="000905A1" w:rsidP="004D0295">
      <w:pPr>
        <w:numPr>
          <w:ilvl w:val="0"/>
          <w:numId w:val="3"/>
        </w:numPr>
        <w:spacing w:after="100"/>
        <w:ind w:left="360"/>
        <w:jc w:val="both"/>
        <w:rPr>
          <w:rFonts w:ascii="Consolas" w:hAnsi="Consolas"/>
          <w:sz w:val="20"/>
          <w:szCs w:val="20"/>
        </w:rPr>
      </w:pPr>
      <w:r w:rsidRPr="000905A1">
        <w:rPr>
          <w:rFonts w:ascii="Consolas" w:hAnsi="Consolas"/>
          <w:sz w:val="20"/>
          <w:szCs w:val="20"/>
        </w:rPr>
        <w:t xml:space="preserve">Məhkəmə və inzibati orqanlar tərəfindən müvafiq hüquqi aktların </w:t>
      </w:r>
      <w:r w:rsidRPr="000905A1">
        <w:rPr>
          <w:rFonts w:ascii="Consolas" w:hAnsi="Consolas"/>
          <w:i/>
          <w:iCs/>
          <w:sz w:val="20"/>
          <w:szCs w:val="20"/>
        </w:rPr>
        <w:t>qanunvericinin həqiqi niyyətinə uyğun şərh edib və tətbiq edilməsi</w:t>
      </w:r>
      <w:r w:rsidRPr="000905A1">
        <w:rPr>
          <w:rFonts w:ascii="Consolas" w:hAnsi="Consolas"/>
          <w:sz w:val="20"/>
          <w:szCs w:val="20"/>
        </w:rPr>
        <w:t>;</w:t>
      </w:r>
    </w:p>
    <w:p w14:paraId="4A75274E" w14:textId="77777777" w:rsidR="000905A1" w:rsidRPr="000905A1" w:rsidRDefault="000905A1" w:rsidP="004D0295">
      <w:pPr>
        <w:numPr>
          <w:ilvl w:val="0"/>
          <w:numId w:val="3"/>
        </w:numPr>
        <w:spacing w:after="100"/>
        <w:ind w:left="360"/>
        <w:jc w:val="both"/>
        <w:rPr>
          <w:rFonts w:ascii="Consolas" w:hAnsi="Consolas"/>
          <w:sz w:val="20"/>
          <w:szCs w:val="20"/>
        </w:rPr>
      </w:pPr>
      <w:r w:rsidRPr="000905A1">
        <w:rPr>
          <w:rFonts w:ascii="Consolas" w:hAnsi="Consolas"/>
          <w:sz w:val="20"/>
          <w:szCs w:val="20"/>
        </w:rPr>
        <w:t xml:space="preserve">Hüquqşünaslar, eləcə də digər vətəndaşlar tərəfindən müvafiq qanunvericilik aktlarının </w:t>
      </w:r>
      <w:r w:rsidRPr="000905A1">
        <w:rPr>
          <w:rFonts w:ascii="Consolas" w:hAnsi="Consolas"/>
          <w:i/>
          <w:iCs/>
          <w:sz w:val="20"/>
          <w:szCs w:val="20"/>
        </w:rPr>
        <w:t>mahiyyətinin</w:t>
      </w:r>
      <w:r w:rsidRPr="000905A1">
        <w:rPr>
          <w:rFonts w:ascii="Consolas" w:hAnsi="Consolas"/>
          <w:sz w:val="20"/>
          <w:szCs w:val="20"/>
        </w:rPr>
        <w:t xml:space="preserve">, habelə qanunvericinin </w:t>
      </w:r>
      <w:r w:rsidRPr="000905A1">
        <w:rPr>
          <w:rFonts w:ascii="Consolas" w:hAnsi="Consolas"/>
          <w:i/>
          <w:iCs/>
          <w:sz w:val="20"/>
          <w:szCs w:val="20"/>
        </w:rPr>
        <w:t>niyyət və məqsədlərinin</w:t>
      </w:r>
      <w:r w:rsidRPr="000905A1">
        <w:rPr>
          <w:rFonts w:ascii="Consolas" w:hAnsi="Consolas"/>
          <w:sz w:val="20"/>
          <w:szCs w:val="20"/>
        </w:rPr>
        <w:t xml:space="preserve"> daha aydın və düzgün başa düşülməsi;</w:t>
      </w:r>
    </w:p>
    <w:p w14:paraId="0B71B34E" w14:textId="77777777" w:rsidR="000905A1" w:rsidRPr="000905A1" w:rsidRDefault="000905A1" w:rsidP="004D0295">
      <w:pPr>
        <w:numPr>
          <w:ilvl w:val="0"/>
          <w:numId w:val="3"/>
        </w:numPr>
        <w:spacing w:after="100"/>
        <w:ind w:left="360"/>
        <w:jc w:val="both"/>
        <w:rPr>
          <w:rFonts w:ascii="Consolas" w:hAnsi="Consolas"/>
          <w:sz w:val="20"/>
          <w:szCs w:val="20"/>
        </w:rPr>
      </w:pPr>
      <w:r w:rsidRPr="000905A1">
        <w:rPr>
          <w:rFonts w:ascii="Consolas" w:hAnsi="Consolas"/>
          <w:sz w:val="20"/>
          <w:szCs w:val="20"/>
        </w:rPr>
        <w:t xml:space="preserve">Akademik </w:t>
      </w:r>
      <w:r w:rsidRPr="000905A1">
        <w:rPr>
          <w:rFonts w:ascii="Consolas" w:hAnsi="Consolas"/>
          <w:i/>
          <w:iCs/>
          <w:sz w:val="20"/>
          <w:szCs w:val="20"/>
        </w:rPr>
        <w:t>hüquqi tədqiqatın aparılması</w:t>
      </w:r>
      <w:r w:rsidRPr="000905A1">
        <w:rPr>
          <w:rFonts w:ascii="Consolas" w:hAnsi="Consolas"/>
          <w:sz w:val="20"/>
          <w:szCs w:val="20"/>
        </w:rPr>
        <w:t xml:space="preserve"> </w:t>
      </w:r>
      <w:r w:rsidRPr="000905A1">
        <w:rPr>
          <w:rFonts w:ascii="Consolas" w:hAnsi="Consolas"/>
          <w:i/>
          <w:iCs/>
          <w:sz w:val="20"/>
          <w:szCs w:val="20"/>
        </w:rPr>
        <w:t xml:space="preserve">imkanlarının </w:t>
      </w:r>
      <w:r w:rsidRPr="000905A1">
        <w:rPr>
          <w:rFonts w:ascii="Consolas" w:hAnsi="Consolas"/>
          <w:sz w:val="20"/>
          <w:szCs w:val="20"/>
        </w:rPr>
        <w:t>genişləndirilməsi.</w:t>
      </w:r>
    </w:p>
    <w:p w14:paraId="23F87441" w14:textId="77777777" w:rsidR="000905A1" w:rsidRPr="000905A1" w:rsidRDefault="000905A1" w:rsidP="004D0295">
      <w:pPr>
        <w:spacing w:after="100"/>
        <w:jc w:val="both"/>
        <w:rPr>
          <w:rFonts w:ascii="Consolas" w:hAnsi="Consolas"/>
          <w:sz w:val="20"/>
          <w:szCs w:val="20"/>
        </w:rPr>
      </w:pPr>
      <w:r w:rsidRPr="000905A1">
        <w:rPr>
          <w:rFonts w:ascii="Consolas" w:hAnsi="Consolas"/>
          <w:sz w:val="20"/>
          <w:szCs w:val="20"/>
        </w:rPr>
        <w:t>Yuxarıda göstərilən məzmun və funksionallıq nəzərə alınmaqla, Mərkəzin veb-saytında “Normayaratma  arxivi” elektron sisteminin (ayrıca bölmənin) yaradılması məsələsinə münasibət bildirməyinizi xahiş edirəm.</w:t>
      </w:r>
    </w:p>
    <w:p w14:paraId="0294186A" w14:textId="77777777" w:rsidR="000905A1" w:rsidRPr="000905A1" w:rsidRDefault="000905A1" w:rsidP="0080741C">
      <w:pPr>
        <w:spacing w:after="100"/>
        <w:rPr>
          <w:rFonts w:ascii="Consolas" w:hAnsi="Consolas"/>
          <w:sz w:val="20"/>
          <w:szCs w:val="20"/>
        </w:rPr>
      </w:pPr>
    </w:p>
    <w:p w14:paraId="4756ADB0" w14:textId="699FD5B7" w:rsidR="000905A1" w:rsidRDefault="000905A1" w:rsidP="0080741C">
      <w:pPr>
        <w:spacing w:after="100"/>
        <w:rPr>
          <w:rFonts w:ascii="Consolas" w:hAnsi="Consolas"/>
          <w:sz w:val="20"/>
          <w:szCs w:val="20"/>
        </w:rPr>
      </w:pPr>
      <w:r w:rsidRPr="000905A1">
        <w:rPr>
          <w:rFonts w:ascii="Consolas" w:hAnsi="Consolas"/>
          <w:sz w:val="20"/>
          <w:szCs w:val="20"/>
        </w:rPr>
        <w:t>Hörmətlə,</w:t>
      </w:r>
      <w:r w:rsidR="006D2D14">
        <w:rPr>
          <w:rFonts w:ascii="Consolas" w:hAnsi="Consolas"/>
          <w:sz w:val="20"/>
          <w:szCs w:val="20"/>
        </w:rPr>
        <w:t xml:space="preserve"> </w:t>
      </w:r>
    </w:p>
    <w:p w14:paraId="23047A1C" w14:textId="77777777" w:rsidR="00E75ED2" w:rsidRPr="000905A1" w:rsidRDefault="00E75ED2" w:rsidP="0080741C">
      <w:pPr>
        <w:spacing w:after="100"/>
        <w:rPr>
          <w:rFonts w:ascii="Consolas" w:hAnsi="Consolas"/>
          <w:sz w:val="20"/>
          <w:szCs w:val="20"/>
        </w:rPr>
      </w:pPr>
    </w:p>
    <w:p w14:paraId="5B972661" w14:textId="3B7DF153" w:rsidR="000905A1" w:rsidRPr="000905A1" w:rsidRDefault="000905A1" w:rsidP="0080741C">
      <w:pPr>
        <w:spacing w:after="100"/>
        <w:rPr>
          <w:rFonts w:ascii="Consolas" w:hAnsi="Consolas"/>
          <w:b/>
          <w:bCs/>
          <w:sz w:val="20"/>
          <w:szCs w:val="20"/>
        </w:rPr>
      </w:pPr>
      <w:r w:rsidRPr="000905A1">
        <w:rPr>
          <w:rFonts w:ascii="Consolas" w:hAnsi="Consolas"/>
          <w:b/>
          <w:bCs/>
          <w:sz w:val="20"/>
          <w:szCs w:val="20"/>
        </w:rPr>
        <w:t>Samir Mahmudov</w:t>
      </w:r>
      <w:r w:rsidR="006D2D14">
        <w:rPr>
          <w:rFonts w:ascii="Consolas" w:hAnsi="Consolas"/>
          <w:b/>
          <w:bCs/>
          <w:sz w:val="20"/>
          <w:szCs w:val="20"/>
        </w:rPr>
        <w:t xml:space="preserve"> </w:t>
      </w:r>
      <w:r w:rsidRPr="000905A1">
        <w:rPr>
          <w:rFonts w:ascii="Consolas" w:hAnsi="Consolas"/>
          <w:sz w:val="20"/>
          <w:szCs w:val="20"/>
        </w:rPr>
        <w:br/>
      </w:r>
      <w:r w:rsidRPr="000905A1">
        <w:rPr>
          <w:rFonts w:ascii="Consolas" w:hAnsi="Consolas"/>
          <w:sz w:val="20"/>
          <w:szCs w:val="20"/>
        </w:rPr>
        <w:br/>
      </w:r>
      <w:r w:rsidRPr="000905A1">
        <w:rPr>
          <w:rFonts w:ascii="Consolas" w:hAnsi="Consolas"/>
          <w:b/>
          <w:bCs/>
          <w:sz w:val="20"/>
          <w:szCs w:val="20"/>
        </w:rPr>
        <w:t xml:space="preserve">Hüquqi Ekspertiza və Qanunvericilik Təşəbbüsləri </w:t>
      </w:r>
    </w:p>
    <w:p w14:paraId="50A837E5" w14:textId="77777777" w:rsidR="000905A1" w:rsidRPr="000905A1" w:rsidRDefault="000905A1" w:rsidP="0080741C">
      <w:pPr>
        <w:spacing w:after="100"/>
        <w:rPr>
          <w:rFonts w:ascii="Consolas" w:hAnsi="Consolas"/>
          <w:b/>
          <w:bCs/>
          <w:sz w:val="20"/>
          <w:szCs w:val="20"/>
          <w:lang w:val="en-US"/>
        </w:rPr>
      </w:pPr>
      <w:r w:rsidRPr="000905A1">
        <w:rPr>
          <w:rFonts w:ascii="Consolas" w:hAnsi="Consolas"/>
          <w:b/>
          <w:bCs/>
          <w:sz w:val="20"/>
          <w:szCs w:val="20"/>
          <w:lang w:val="en-US"/>
        </w:rPr>
        <w:t>Mərkəzinin İcraçı direktoru</w:t>
      </w:r>
    </w:p>
    <w:p w14:paraId="6075322B" w14:textId="77777777" w:rsidR="000905A1" w:rsidRPr="000905A1" w:rsidRDefault="000905A1" w:rsidP="0080741C">
      <w:pPr>
        <w:spacing w:after="100"/>
        <w:rPr>
          <w:rFonts w:ascii="Consolas" w:hAnsi="Consolas"/>
          <w:sz w:val="20"/>
          <w:szCs w:val="20"/>
          <w:lang w:val="en-US"/>
        </w:rPr>
      </w:pPr>
    </w:p>
    <w:p w14:paraId="0B7AF0F5" w14:textId="77777777" w:rsidR="00AE5515" w:rsidRPr="000905A1" w:rsidRDefault="00AE5515" w:rsidP="0080741C">
      <w:pPr>
        <w:spacing w:after="100"/>
        <w:rPr>
          <w:rFonts w:ascii="Consolas" w:hAnsi="Consolas"/>
          <w:sz w:val="20"/>
          <w:szCs w:val="20"/>
        </w:rPr>
      </w:pPr>
    </w:p>
    <w:sectPr w:rsidR="00AE5515" w:rsidRPr="000905A1" w:rsidSect="00282ECE">
      <w:pgSz w:w="11906" w:h="16838"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52936"/>
    <w:multiLevelType w:val="hybridMultilevel"/>
    <w:tmpl w:val="84B0BDD0"/>
    <w:lvl w:ilvl="0" w:tplc="57700092">
      <w:start w:val="1"/>
      <w:numFmt w:val="lowerRoman"/>
      <w:lvlText w:val="(%1)"/>
      <w:lvlJc w:val="left"/>
      <w:pPr>
        <w:ind w:left="2160" w:hanging="360"/>
      </w:pPr>
      <w:rPr>
        <w:rFonts w:ascii="Palatino Linotype" w:eastAsia="Times New Roman" w:hAnsi="Palatino Linotype" w:cs="Times New Roman"/>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 w15:restartNumberingAfterBreak="0">
    <w:nsid w:val="3B835BEA"/>
    <w:multiLevelType w:val="multilevel"/>
    <w:tmpl w:val="CF14F136"/>
    <w:lvl w:ilvl="0">
      <w:start w:val="1"/>
      <w:numFmt w:val="decimal"/>
      <w:lvlText w:val="%1."/>
      <w:lvlJc w:val="left"/>
      <w:pPr>
        <w:ind w:left="900" w:hanging="360"/>
      </w:pPr>
      <w:rPr>
        <w:b/>
        <w:bCs/>
      </w:rPr>
    </w:lvl>
    <w:lvl w:ilvl="1">
      <w:start w:val="1"/>
      <w:numFmt w:val="decimal"/>
      <w:isLgl/>
      <w:lvlText w:val="%1.%2."/>
      <w:lvlJc w:val="left"/>
      <w:pPr>
        <w:ind w:left="2160" w:hanging="360"/>
      </w:pPr>
    </w:lvl>
    <w:lvl w:ilvl="2">
      <w:start w:val="1"/>
      <w:numFmt w:val="decimal"/>
      <w:isLgl/>
      <w:lvlText w:val="%1.%2.%3."/>
      <w:lvlJc w:val="left"/>
      <w:pPr>
        <w:ind w:left="3780" w:hanging="720"/>
      </w:pPr>
    </w:lvl>
    <w:lvl w:ilvl="3">
      <w:start w:val="1"/>
      <w:numFmt w:val="decimal"/>
      <w:isLgl/>
      <w:lvlText w:val="%1.%2.%3.%4."/>
      <w:lvlJc w:val="left"/>
      <w:pPr>
        <w:ind w:left="5040" w:hanging="720"/>
      </w:pPr>
    </w:lvl>
    <w:lvl w:ilvl="4">
      <w:start w:val="1"/>
      <w:numFmt w:val="decimal"/>
      <w:isLgl/>
      <w:lvlText w:val="%1.%2.%3.%4.%5."/>
      <w:lvlJc w:val="left"/>
      <w:pPr>
        <w:ind w:left="6660" w:hanging="1080"/>
      </w:pPr>
    </w:lvl>
    <w:lvl w:ilvl="5">
      <w:start w:val="1"/>
      <w:numFmt w:val="decimal"/>
      <w:isLgl/>
      <w:lvlText w:val="%1.%2.%3.%4.%5.%6."/>
      <w:lvlJc w:val="left"/>
      <w:pPr>
        <w:ind w:left="7920" w:hanging="1080"/>
      </w:pPr>
    </w:lvl>
    <w:lvl w:ilvl="6">
      <w:start w:val="1"/>
      <w:numFmt w:val="decimal"/>
      <w:isLgl/>
      <w:lvlText w:val="%1.%2.%3.%4.%5.%6.%7."/>
      <w:lvlJc w:val="left"/>
      <w:pPr>
        <w:ind w:left="9540" w:hanging="1440"/>
      </w:pPr>
    </w:lvl>
    <w:lvl w:ilvl="7">
      <w:start w:val="1"/>
      <w:numFmt w:val="decimal"/>
      <w:isLgl/>
      <w:lvlText w:val="%1.%2.%3.%4.%5.%6.%7.%8."/>
      <w:lvlJc w:val="left"/>
      <w:pPr>
        <w:ind w:left="10800" w:hanging="1440"/>
      </w:pPr>
    </w:lvl>
    <w:lvl w:ilvl="8">
      <w:start w:val="1"/>
      <w:numFmt w:val="decimal"/>
      <w:isLgl/>
      <w:lvlText w:val="%1.%2.%3.%4.%5.%6.%7.%8.%9."/>
      <w:lvlJc w:val="left"/>
      <w:pPr>
        <w:ind w:left="12420" w:hanging="1800"/>
      </w:pPr>
    </w:lvl>
  </w:abstractNum>
  <w:abstractNum w:abstractNumId="2" w15:restartNumberingAfterBreak="0">
    <w:nsid w:val="429E6B09"/>
    <w:multiLevelType w:val="hybridMultilevel"/>
    <w:tmpl w:val="00447A64"/>
    <w:lvl w:ilvl="0" w:tplc="CBB0C378">
      <w:start w:val="1"/>
      <w:numFmt w:val="bullet"/>
      <w:lvlText w:val="-"/>
      <w:lvlJc w:val="left"/>
      <w:pPr>
        <w:tabs>
          <w:tab w:val="num" w:pos="720"/>
        </w:tabs>
        <w:ind w:left="720" w:hanging="360"/>
      </w:pPr>
      <w:rPr>
        <w:rFonts w:ascii="Calibri" w:hAnsi="Calibri" w:cs="Times New Roman" w:hint="default"/>
      </w:rPr>
    </w:lvl>
    <w:lvl w:ilvl="1" w:tplc="7C44D800">
      <w:start w:val="1"/>
      <w:numFmt w:val="bullet"/>
      <w:lvlText w:val="-"/>
      <w:lvlJc w:val="left"/>
      <w:pPr>
        <w:tabs>
          <w:tab w:val="num" w:pos="1440"/>
        </w:tabs>
        <w:ind w:left="1440" w:hanging="360"/>
      </w:pPr>
      <w:rPr>
        <w:rFonts w:ascii="Calibri" w:hAnsi="Calibri" w:cs="Times New Roman" w:hint="default"/>
      </w:rPr>
    </w:lvl>
    <w:lvl w:ilvl="2" w:tplc="25FA7238">
      <w:start w:val="1"/>
      <w:numFmt w:val="bullet"/>
      <w:lvlText w:val="-"/>
      <w:lvlJc w:val="left"/>
      <w:pPr>
        <w:tabs>
          <w:tab w:val="num" w:pos="2160"/>
        </w:tabs>
        <w:ind w:left="2160" w:hanging="360"/>
      </w:pPr>
      <w:rPr>
        <w:rFonts w:ascii="Calibri" w:hAnsi="Calibri" w:cs="Times New Roman" w:hint="default"/>
      </w:rPr>
    </w:lvl>
    <w:lvl w:ilvl="3" w:tplc="37D8B366">
      <w:start w:val="1"/>
      <w:numFmt w:val="bullet"/>
      <w:lvlText w:val="-"/>
      <w:lvlJc w:val="left"/>
      <w:pPr>
        <w:tabs>
          <w:tab w:val="num" w:pos="2880"/>
        </w:tabs>
        <w:ind w:left="2880" w:hanging="360"/>
      </w:pPr>
      <w:rPr>
        <w:rFonts w:ascii="Calibri" w:hAnsi="Calibri" w:cs="Times New Roman" w:hint="default"/>
      </w:rPr>
    </w:lvl>
    <w:lvl w:ilvl="4" w:tplc="01905AFC">
      <w:start w:val="1"/>
      <w:numFmt w:val="bullet"/>
      <w:lvlText w:val="-"/>
      <w:lvlJc w:val="left"/>
      <w:pPr>
        <w:tabs>
          <w:tab w:val="num" w:pos="3600"/>
        </w:tabs>
        <w:ind w:left="3600" w:hanging="360"/>
      </w:pPr>
      <w:rPr>
        <w:rFonts w:ascii="Calibri" w:hAnsi="Calibri" w:cs="Times New Roman" w:hint="default"/>
      </w:rPr>
    </w:lvl>
    <w:lvl w:ilvl="5" w:tplc="D270B7A6">
      <w:start w:val="1"/>
      <w:numFmt w:val="bullet"/>
      <w:lvlText w:val="-"/>
      <w:lvlJc w:val="left"/>
      <w:pPr>
        <w:tabs>
          <w:tab w:val="num" w:pos="4320"/>
        </w:tabs>
        <w:ind w:left="4320" w:hanging="360"/>
      </w:pPr>
      <w:rPr>
        <w:rFonts w:ascii="Calibri" w:hAnsi="Calibri" w:cs="Times New Roman" w:hint="default"/>
      </w:rPr>
    </w:lvl>
    <w:lvl w:ilvl="6" w:tplc="EF288982">
      <w:start w:val="1"/>
      <w:numFmt w:val="bullet"/>
      <w:lvlText w:val="-"/>
      <w:lvlJc w:val="left"/>
      <w:pPr>
        <w:tabs>
          <w:tab w:val="num" w:pos="5040"/>
        </w:tabs>
        <w:ind w:left="5040" w:hanging="360"/>
      </w:pPr>
      <w:rPr>
        <w:rFonts w:ascii="Calibri" w:hAnsi="Calibri" w:cs="Times New Roman" w:hint="default"/>
      </w:rPr>
    </w:lvl>
    <w:lvl w:ilvl="7" w:tplc="A612B0D8">
      <w:start w:val="1"/>
      <w:numFmt w:val="bullet"/>
      <w:lvlText w:val="-"/>
      <w:lvlJc w:val="left"/>
      <w:pPr>
        <w:tabs>
          <w:tab w:val="num" w:pos="5760"/>
        </w:tabs>
        <w:ind w:left="5760" w:hanging="360"/>
      </w:pPr>
      <w:rPr>
        <w:rFonts w:ascii="Calibri" w:hAnsi="Calibri" w:cs="Times New Roman" w:hint="default"/>
      </w:rPr>
    </w:lvl>
    <w:lvl w:ilvl="8" w:tplc="C26E91E6">
      <w:start w:val="1"/>
      <w:numFmt w:val="bullet"/>
      <w:lvlText w:val="-"/>
      <w:lvlJc w:val="left"/>
      <w:pPr>
        <w:tabs>
          <w:tab w:val="num" w:pos="6480"/>
        </w:tabs>
        <w:ind w:left="6480" w:hanging="360"/>
      </w:pPr>
      <w:rPr>
        <w:rFonts w:ascii="Calibri" w:hAnsi="Calibri" w:cs="Times New Roman" w:hint="default"/>
      </w:rPr>
    </w:lvl>
  </w:abstractNum>
  <w:num w:numId="1" w16cid:durableId="14295430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292565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932516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5A1"/>
    <w:rsid w:val="000905A1"/>
    <w:rsid w:val="00276108"/>
    <w:rsid w:val="00282ECE"/>
    <w:rsid w:val="00430E2B"/>
    <w:rsid w:val="004D0295"/>
    <w:rsid w:val="006D2D14"/>
    <w:rsid w:val="0080741C"/>
    <w:rsid w:val="009316DA"/>
    <w:rsid w:val="00983EE3"/>
    <w:rsid w:val="009D5369"/>
    <w:rsid w:val="00AE5515"/>
    <w:rsid w:val="00E75ED2"/>
    <w:rsid w:val="00EE50C2"/>
    <w:rsid w:val="00F800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720AC"/>
  <w15:chartTrackingRefBased/>
  <w15:docId w15:val="{D6FC93E6-D181-4FE0-B3A2-FD80EBBB1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az-Latn-A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5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05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05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05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05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05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05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05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05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5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05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05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05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05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05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05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05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05A1"/>
    <w:rPr>
      <w:rFonts w:eastAsiaTheme="majorEastAsia" w:cstheme="majorBidi"/>
      <w:color w:val="272727" w:themeColor="text1" w:themeTint="D8"/>
    </w:rPr>
  </w:style>
  <w:style w:type="paragraph" w:styleId="Title">
    <w:name w:val="Title"/>
    <w:basedOn w:val="Normal"/>
    <w:next w:val="Normal"/>
    <w:link w:val="TitleChar"/>
    <w:uiPriority w:val="10"/>
    <w:qFormat/>
    <w:rsid w:val="000905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5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05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05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05A1"/>
    <w:pPr>
      <w:spacing w:before="160"/>
      <w:jc w:val="center"/>
    </w:pPr>
    <w:rPr>
      <w:i/>
      <w:iCs/>
      <w:color w:val="404040" w:themeColor="text1" w:themeTint="BF"/>
    </w:rPr>
  </w:style>
  <w:style w:type="character" w:customStyle="1" w:styleId="QuoteChar">
    <w:name w:val="Quote Char"/>
    <w:basedOn w:val="DefaultParagraphFont"/>
    <w:link w:val="Quote"/>
    <w:uiPriority w:val="29"/>
    <w:rsid w:val="000905A1"/>
    <w:rPr>
      <w:i/>
      <w:iCs/>
      <w:color w:val="404040" w:themeColor="text1" w:themeTint="BF"/>
    </w:rPr>
  </w:style>
  <w:style w:type="paragraph" w:styleId="ListParagraph">
    <w:name w:val="List Paragraph"/>
    <w:basedOn w:val="Normal"/>
    <w:uiPriority w:val="34"/>
    <w:qFormat/>
    <w:rsid w:val="000905A1"/>
    <w:pPr>
      <w:ind w:left="720"/>
      <w:contextualSpacing/>
    </w:pPr>
  </w:style>
  <w:style w:type="character" w:styleId="IntenseEmphasis">
    <w:name w:val="Intense Emphasis"/>
    <w:basedOn w:val="DefaultParagraphFont"/>
    <w:uiPriority w:val="21"/>
    <w:qFormat/>
    <w:rsid w:val="000905A1"/>
    <w:rPr>
      <w:i/>
      <w:iCs/>
      <w:color w:val="0F4761" w:themeColor="accent1" w:themeShade="BF"/>
    </w:rPr>
  </w:style>
  <w:style w:type="paragraph" w:styleId="IntenseQuote">
    <w:name w:val="Intense Quote"/>
    <w:basedOn w:val="Normal"/>
    <w:next w:val="Normal"/>
    <w:link w:val="IntenseQuoteChar"/>
    <w:uiPriority w:val="30"/>
    <w:qFormat/>
    <w:rsid w:val="000905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05A1"/>
    <w:rPr>
      <w:i/>
      <w:iCs/>
      <w:color w:val="0F4761" w:themeColor="accent1" w:themeShade="BF"/>
    </w:rPr>
  </w:style>
  <w:style w:type="character" w:styleId="IntenseReference">
    <w:name w:val="Intense Reference"/>
    <w:basedOn w:val="DefaultParagraphFont"/>
    <w:uiPriority w:val="32"/>
    <w:qFormat/>
    <w:rsid w:val="000905A1"/>
    <w:rPr>
      <w:b/>
      <w:bCs/>
      <w:smallCaps/>
      <w:color w:val="0F4761" w:themeColor="accent1" w:themeShade="BF"/>
      <w:spacing w:val="5"/>
    </w:rPr>
  </w:style>
  <w:style w:type="character" w:styleId="Hyperlink">
    <w:name w:val="Hyperlink"/>
    <w:basedOn w:val="DefaultParagraphFont"/>
    <w:uiPriority w:val="99"/>
    <w:unhideWhenUsed/>
    <w:rsid w:val="000905A1"/>
    <w:rPr>
      <w:color w:val="467886" w:themeColor="hyperlink"/>
      <w:u w:val="single"/>
    </w:rPr>
  </w:style>
  <w:style w:type="character" w:styleId="UnresolvedMention">
    <w:name w:val="Unresolved Mention"/>
    <w:basedOn w:val="DefaultParagraphFont"/>
    <w:uiPriority w:val="99"/>
    <w:semiHidden/>
    <w:unhideWhenUsed/>
    <w:rsid w:val="000905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8845156">
      <w:bodyDiv w:val="1"/>
      <w:marLeft w:val="0"/>
      <w:marRight w:val="0"/>
      <w:marTop w:val="0"/>
      <w:marBottom w:val="0"/>
      <w:divBdr>
        <w:top w:val="none" w:sz="0" w:space="0" w:color="auto"/>
        <w:left w:val="none" w:sz="0" w:space="0" w:color="auto"/>
        <w:bottom w:val="none" w:sz="0" w:space="0" w:color="auto"/>
        <w:right w:val="none" w:sz="0" w:space="0" w:color="auto"/>
      </w:divBdr>
    </w:div>
    <w:div w:id="17823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cid:image001.png@01DB40E1.3DD7974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cid:image002.png@01DB40E1.3DD797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AFE9B-E69D-42F1-9B35-199ACA260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3</Pages>
  <Words>3957</Words>
  <Characters>2256</Characters>
  <Application>Microsoft Office Word</Application>
  <DocSecurity>0</DocSecurity>
  <Lines>18</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anar 0306</dc:creator>
  <cp:keywords/>
  <dc:description/>
  <cp:lastModifiedBy>anar 0306</cp:lastModifiedBy>
  <cp:revision>6</cp:revision>
  <dcterms:created xsi:type="dcterms:W3CDTF">2024-11-27T13:12:00Z</dcterms:created>
  <dcterms:modified xsi:type="dcterms:W3CDTF">2024-11-28T08:58:00Z</dcterms:modified>
</cp:coreProperties>
</file>