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UNIVERSIDADE FEDERAL DE PERNAMBUCO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CENTRO DE INFORMÁTICA</w:t>
      </w:r>
    </w:p>
    <w:p>
      <w:pPr>
        <w:spacing w:after="140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CIN0144 — Aprendizado de Máquina e Ciência de Dados</w:t>
      </w:r>
    </w:p>
    <w:p>
      <w:pPr>
        <w:spacing w:after="20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Prever a bilheteria de um filme brasileiro antes da estreia</w:t>
      </w:r>
    </w:p>
    <w:p>
      <w:pPr>
        <w:spacing w:after="140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Entrega 1: Análise Exploratória de Dados</w:t>
      </w:r>
    </w:p>
    <w:p>
      <w:pPr>
        <w:spacing w:after="10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Grupo 11</w:t>
      </w:r>
    </w:p>
    <w:p>
      <w:pPr>
        <w:spacing w:after="4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Ana Laura</w:t>
      </w:r>
    </w:p>
    <w:p>
      <w:pPr>
        <w:spacing w:after="4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Ana Raquel</w:t>
      </w:r>
    </w:p>
    <w:p>
      <w:pPr>
        <w:spacing w:after="140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Laura Virgínia</w:t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Recife, setembro de 2026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Resumo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Este trabalho analisa 2.626 filmes brasileiros lançados comercialmente em salas de exibição entre 1995 e 2024, a partir da listagem oficial da Agência Nacional do Cinema. A pergunta que orienta a análise é se um filme alcançará público acima da mediana do seu ano de lançamento, prevendo apenas com informação disponível antes da estreia.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resposta preliminar é afirmativa, mas parcial. O resultado que mais importa, porém, é outro. A base contém três caminhos que produzem desempenho excelente e conclusão sem valor, e medimos o peso de cada um deles.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7"/>
        <w:gridCol w:w="3009"/>
      </w:tblGrid>
      <w:tr>
        <w:trPr>
          <w:tblHeader/>
        </w:trPr>
        <w:tc>
          <w:tcPr>
            <w:tcW w:type="dxa" w:w="601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Decisão equivocada</w:t>
            </w:r>
          </w:p>
        </w:tc>
        <w:tc>
          <w:tcPr>
            <w:tcW w:type="dxa" w:w="3009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Ganho ilusório de desempenho</w:t>
            </w:r>
          </w:p>
        </w:tc>
      </w:tr>
      <w:tr>
        <w:trPr>
          <w:tblHeader w:val="false"/>
        </w:trPr>
        <w:tc>
          <w:tcPr>
            <w:tcW w:type="dxa" w:w="60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Usar a renda de bilheteria como atributo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+0,161</w:t>
            </w:r>
          </w:p>
        </w:tc>
      </w:tr>
      <w:tr>
        <w:trPr>
          <w:tblHeader w:val="false"/>
        </w:trPr>
        <w:tc>
          <w:tcPr>
            <w:tcW w:type="dxa" w:w="60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Usar o máximo de salas como atributo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+0,108</w:t>
            </w:r>
          </w:p>
        </w:tc>
      </w:tr>
      <w:tr>
        <w:trPr>
          <w:tblHeader w:val="false"/>
        </w:trPr>
        <w:tc>
          <w:tcPr>
            <w:tcW w:type="dxa" w:w="60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Validar com partição aleatória em vez de temporal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+0,087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Somados a uma definição de alvo que embute o ano de lançamento, o caminho fácil alcança AUC de 0,995 e o caminho honesto alcança 0,725. Quase trinta pontos de diferença separam as duas versões, e nenhuma linha de código as distingue à primeira vista.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relatório documenta a base, os resultados da análise exploratória, os treze problemas identificados e as catorze hipóteses de pré-processamento, cada uma acompanhada da medida do que custa e do que vale.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1. Caracterização do problema e da base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1.1 Fontes dos dados, coleta e licença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análise utiliza cinco fontes, todas públicas e federais.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5"/>
        <w:gridCol w:w="1425"/>
        <w:gridCol w:w="2375"/>
        <w:gridCol w:w="1901"/>
      </w:tblGrid>
      <w:tr>
        <w:trPr>
          <w:tblHeader/>
        </w:trPr>
        <w:tc>
          <w:tcPr>
            <w:tcW w:type="dxa" w:w="332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</w:t>
            </w:r>
          </w:p>
        </w:tc>
        <w:tc>
          <w:tcPr>
            <w:tcW w:type="dxa" w:w="142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Órgão</w:t>
            </w:r>
          </w:p>
        </w:tc>
        <w:tc>
          <w:tcPr>
            <w:tcW w:type="dxa" w:w="237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Papel na análise</w:t>
            </w:r>
          </w:p>
        </w:tc>
        <w:tc>
          <w:tcPr>
            <w:tcW w:type="dxa" w:w="1901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Licença</w:t>
            </w:r>
          </w:p>
        </w:tc>
      </w:tr>
      <w:tr>
        <w:trPr>
          <w:tblHeader w:val="false"/>
        </w:trPr>
        <w:tc>
          <w:tcPr>
            <w:tcW w:type="dxa" w:w="33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Listagem dos filmes brasileiros lançados, 1995 a 2024</w:t>
            </w:r>
          </w:p>
        </w:tc>
        <w:tc>
          <w:tcPr>
            <w:tcW w:type="dxa" w:w="1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ANCINE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primária</w:t>
            </w:r>
          </w:p>
        </w:tc>
        <w:tc>
          <w:tcPr>
            <w:tcW w:type="dxa" w:w="19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aberto federal</w:t>
            </w:r>
          </w:p>
        </w:tc>
      </w:tr>
      <w:tr>
        <w:trPr>
          <w:tblHeader w:val="false"/>
        </w:trPr>
        <w:tc>
          <w:tcPr>
            <w:tcW w:type="dxa" w:w="33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Obras com investimento do Fundo Setorial do Audiovisual</w:t>
            </w:r>
          </w:p>
        </w:tc>
        <w:tc>
          <w:tcPr>
            <w:tcW w:type="dxa" w:w="1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ANCINE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Fomento direto</w:t>
            </w:r>
          </w:p>
        </w:tc>
        <w:tc>
          <w:tcPr>
            <w:tcW w:type="dxa" w:w="19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Creative Commons</w:t>
            </w:r>
          </w:p>
        </w:tc>
      </w:tr>
      <w:tr>
        <w:trPr>
          <w:tblHeader w:val="false"/>
        </w:trPr>
        <w:tc>
          <w:tcPr>
            <w:tcW w:type="dxa" w:w="33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Obras com fomento indireto aprovado</w:t>
            </w:r>
          </w:p>
        </w:tc>
        <w:tc>
          <w:tcPr>
            <w:tcW w:type="dxa" w:w="1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ANCINE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Leis de incentivo</w:t>
            </w:r>
          </w:p>
        </w:tc>
        <w:tc>
          <w:tcPr>
            <w:tcW w:type="dxa" w:w="19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Creative Commons</w:t>
            </w:r>
          </w:p>
        </w:tc>
      </w:tr>
      <w:tr>
        <w:trPr>
          <w:tblHeader w:val="false"/>
        </w:trPr>
        <w:tc>
          <w:tcPr>
            <w:tcW w:type="dxa" w:w="33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Índice de preços ao consumidor amplo, série 433</w:t>
            </w:r>
          </w:p>
        </w:tc>
        <w:tc>
          <w:tcPr>
            <w:tcW w:type="dxa" w:w="1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Banco Central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Deflacionar a renda</w:t>
            </w:r>
          </w:p>
        </w:tc>
        <w:tc>
          <w:tcPr>
            <w:tcW w:type="dxa" w:w="19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aberto federal</w:t>
            </w:r>
          </w:p>
        </w:tc>
      </w:tr>
      <w:tr>
        <w:trPr>
          <w:tblHeader w:val="false"/>
        </w:trPr>
        <w:tc>
          <w:tcPr>
            <w:tcW w:type="dxa" w:w="33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População residente estimada</w:t>
            </w:r>
          </w:p>
        </w:tc>
        <w:tc>
          <w:tcPr>
            <w:tcW w:type="dxa" w:w="1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mercado</w:t>
            </w:r>
          </w:p>
        </w:tc>
        <w:tc>
          <w:tcPr>
            <w:tcW w:type="dxa" w:w="19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aberto federal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Todas são dados abertos federais regidos pela Lei 12.527 de 2011 e pelo Decreto 8.777 de 2016, de uso livre mediante citação da fonte e sem restrição a uso acadêmico. Os dois conjuntos de fomento declaram licença nominal no catálogo. Nenhuma exige cadastro, chave de acesso ou aceite de termos, restrição que o grupo impôs para que qualquer integrante e o professor consigam reproduzir a ingestão em uma máquina limpa.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coleta exigiu descobrir comportamentos que não estão documentados. O portal do governo federal utiliza o gerenciador de conteúdo Plone, e a URL aparente de um arquivo devolve a página dele, não o arquivo: o conteúdo só vem com um sufixo específico de download. Sem ele, a leitura recebe HTML e falha com um erro que não aponta para a causa.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edição que cobriria o período até 2025 não existe. Sondamos as variantes da URL, uma a uma, e todas devolvem erro 404. A edição publicada mais recente vai até 2024 e é uma versão retificada.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Os dois arquivos de fomento também não estão no portal do observatório. O catálogo nacional de dados abertos é uma aplicação de página única cuja interface de programação responde com erro 401 a clientes externos. Renderizada em um navegador, a mesma interface responde normalmente e revela o endereço real dos arquivos, um domínio separado que não é referenciado em nenhum lugar do portal.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arquivo principal traz ainda três armadilhas, todas tratadas na construção da base: um bloco de 47 linhas de notas metodológicas no final, que a leitura interpreta como se fossem filmes; a ausência codificada como texto em vez de valor nulo, o que converteria colunas numéricas em texto; e números no formato brasileiro, que lidos sem tratamento produzem valores mil vezes maiores.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1.2 Dimensões e tipos de atributos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base analítica tem 2.626 instâncias e 35 atributos, acima do mínimo exigido pela disciplina. Treze atributos vêm diretamente da listagem da ANCINE, cinco das junções com fomento, índice de preços e população, e os demais foram derivados. Todos os tipos previstos no enunciado estão presentes e distinguidos.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6619"/>
      </w:tblGrid>
      <w:tr>
        <w:trPr>
          <w:tblHeader/>
        </w:trPr>
        <w:tc>
          <w:tcPr>
            <w:tcW w:type="dxa" w:w="240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19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Atributos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Certificado de produto brasileiro, título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Temporais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Ano de lançamento, década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Numéricas contínuas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Público, renda corrente, renda deflacionada, deflator, população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Numéricas discretas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Máximo de salas, número de unidades federativas, filmes lançados no ano, histórico da direção, da produtora e da distribuidora, contratos de fomento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Categóricas nominais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Gênero, direção, produtora, distribuidora, unidade federativa, origem do fomento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Categóricas ordinais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Experiência da direção, porte da distribuidora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Categóricas binárias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Coprodução, estreia da direção, recebeu fomento direto, recebeu fomento indireto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Variáveis-alvo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Sucesso global, sucesso no ano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As duas variáveis ordinais foram construídas deliberadamente, porque suas faixas têm ordem natural e essa ordem carrega informação: uma direção veterana realizou mais filmes que uma iniciante. Ambas derivam de contagens que consideram apenas anos anteriores ao lançamento, o que preserva a restrição de informação que define o trabalho.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1.3 Justificativa e relevância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Entre 1995 e 2024 o Estado brasileiro investiu bilhões em fomento ao audiovisual, por meio da Lei do Audiovisual, da Lei Rouanet e do Fundo Setorial do Audiovisual. A decisão de investir é tomada antes de o filme existir. Saber quais características de lançamento se associam ao alcance de público informa produtoras no desenho da estratégia, distribuidoras no dimensionamento da janela de salas e formuladores de política pública.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junção com os registros de fomento torna a última pergunta respondível de forma direta, e ela passa a ser a justificativa mais forte do trabalho: o dinheiro público está indo para filmes que encontram plateia?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Há também interesse analítico. Como a seção seguinte demonstra, a bilheteria brasileira distribui-se segundo uma lei de potência, e prever nesse regime é genuinamente difícil.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1.4 Tipo de tarefa e variável-alvo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problema é de classificação binária. A variável-alvo nasce do público acumulado, transformado em sucesso quando supera a mediana. A regressão sobre o público em nível foi descartada porque, com assimetria de 10,0 e máximo equivalente a 4.342 vezes a mediana, o erro médio diria mais sobre meia dúzia de grandes bilheterias do que sobre os 2.600 filmes restantes.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expressão a mediana, contudo, é ambígua, e essa ambiguidade revelou-se o achado central do trabalho. Construímos os dois alvos candidatos e mantivemos ambos na base.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513"/>
        <w:gridCol w:w="1128"/>
        <w:gridCol w:w="1128"/>
      </w:tblGrid>
      <w:tr>
        <w:trPr>
          <w:tblHeader/>
        </w:trPr>
        <w:tc>
          <w:tcPr>
            <w:tcW w:type="dxa" w:w="225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Variável-alvo</w:t>
            </w:r>
          </w:p>
        </w:tc>
        <w:tc>
          <w:tcPr>
            <w:tcW w:type="dxa" w:w="4513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Definição</w:t>
            </w:r>
          </w:p>
        </w:tc>
        <w:tc>
          <w:tcPr>
            <w:tcW w:type="dxa" w:w="1128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Positivos</w:t>
            </w:r>
          </w:p>
        </w:tc>
        <w:tc>
          <w:tcPr>
            <w:tcW w:type="dxa" w:w="1128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Negativos</w:t>
            </w:r>
          </w:p>
        </w:tc>
      </w:tr>
      <w:tr>
        <w:trPr>
          <w:tblHeader w:val="false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Sucesso global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 acima da mediana de toda a base, que é 2.806 espectadores</w:t>
            </w:r>
          </w:p>
        </w:tc>
        <w:tc>
          <w:tcPr>
            <w:tcW w:type="dxa" w:w="11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1.302</w:t>
            </w:r>
          </w:p>
        </w:tc>
        <w:tc>
          <w:tcPr>
            <w:tcW w:type="dxa" w:w="11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1.302</w:t>
            </w:r>
          </w:p>
        </w:tc>
      </w:tr>
      <w:tr>
        <w:trPr>
          <w:tblHeader w:val="false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Sucesso no ano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 acima da mediana do próprio ano de lançamento</w:t>
            </w:r>
          </w:p>
        </w:tc>
        <w:tc>
          <w:tcPr>
            <w:tcW w:type="dxa" w:w="11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1.294</w:t>
            </w:r>
          </w:p>
        </w:tc>
        <w:tc>
          <w:tcPr>
            <w:tcW w:type="dxa" w:w="11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1.310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Vinte e dois filmes têm público ausente e portanto não possuem alvo definido.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2. Resultados da análise exploratória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2.1 A distribuição do público segue uma lei de potência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6619"/>
      </w:tblGrid>
      <w:tr>
        <w:trPr>
          <w:tblHeader/>
        </w:trPr>
        <w:tc>
          <w:tcPr>
            <w:tcW w:type="dxa" w:w="240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Estatística</w:t>
            </w:r>
          </w:p>
        </w:tc>
        <w:tc>
          <w:tcPr>
            <w:tcW w:type="dxa" w:w="6619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2.806 espectadores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148.399 espectadores, cinquenta e três vezes a mediana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Primeiro quartil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542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Terceiro quartil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22.747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Percentil 99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2.995.628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Máximo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12.184.373, do filme Nada a Perder, de 2018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Assimetria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10,04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Curtose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135,25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Quando média e mediana divergem nessa ordem de grandeza, a média deixa de descrever qualquer filme real. A distribuição espalha-se por sete ordens de grandeza, de dois espectadores a 12,2 milhões, e aproxima-se de uma log-normal.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concentração é extrema. Um por cento dos filmes concentra 36,2% de todo o público, dez por cento concentram 90,7%, e a metade inferior da base responde por apenas 0,28%.</w:t>
      </w:r>
    </w:p>
    <w:p>
      <w:pPr>
        <w:spacing w:after="80" w:before="200"/>
        <w:jc w:val="center"/>
      </w:pPr>
      <w:r>
        <w:drawing>
          <wp:inline distT="0" distB="0" distL="0" distR="0">
            <wp:extent cx="5715000" cy="1552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1. Distribuição do público em escala linear, em escala logarítmica e curva de concentração.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painel da esquerda é, na prática, uma barra única colada no zero: em escala linear, a variação que importa para 99% dos filmes é invisível. O painel central revela o que estava oculto. O painel da direita quantifica a concentração.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Duas consequências decorrem disso. Média e desvio-padrão são inúteis como resumo, e a padronização sobre o valor bruto comprimiria 99% dos dados em um ponto. Além disso, a cauda longa não constitui anomalia a ser removida: ela é o fenômeno que o trabalho pretende prever.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2.2 O mercado mudou de natureza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2777"/>
        <w:gridCol w:w="4166"/>
      </w:tblGrid>
      <w:tr>
        <w:trPr>
          <w:tblHeader/>
        </w:trPr>
        <w:tc>
          <w:tcPr>
            <w:tcW w:type="dxa" w:w="2083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</w:t>
            </w:r>
          </w:p>
        </w:tc>
        <w:tc>
          <w:tcPr>
            <w:tcW w:type="dxa" w:w="277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Lançamentos</w:t>
            </w:r>
          </w:p>
        </w:tc>
        <w:tc>
          <w:tcPr>
            <w:tcW w:type="dxa" w:w="4166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Público mediano por filme</w:t>
            </w:r>
          </w:p>
        </w:tc>
      </w:tr>
      <w:tr>
        <w:trPr>
          <w:tblHeader w:val="false"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1995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4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14.230</w:t>
            </w:r>
          </w:p>
        </w:tc>
      </w:tr>
      <w:tr>
        <w:trPr>
          <w:tblHeader w:val="false"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2024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197</w:t>
            </w:r>
          </w:p>
        </w:tc>
        <w:tc>
          <w:tcPr>
            <w:tcW w:type="dxa" w:w="4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933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número de lançamentos cresceu catorze vezes, enquanto o público mediano por filme caiu quinze vezes. Isso não significa que o cinema brasileiro tenha encolhido, já que o público total não caiu na mesma proporção. O que mudou foi a composição do conjunto de filmes que chegam à sala: entrou uma quantidade expressiva de documentários e produções de circuito limitado que antes não eram lançados comercialmente.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implicação é a mais séria do trabalho. Se o público mediano de 1995 é uma ordem de grandeza maior que o de 2024, um corte pela mediana global classifica quase todo filme antigo como sucesso e quase todo filme recente como fracasso.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2.3 Cardinalidade e concentração nos atributos categóricos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1805"/>
        <w:gridCol w:w="4814"/>
      </w:tblGrid>
      <w:tr>
        <w:trPr>
          <w:tblHeader/>
        </w:trPr>
        <w:tc>
          <w:tcPr>
            <w:tcW w:type="dxa" w:w="240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180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Valores distintos</w:t>
            </w:r>
          </w:p>
        </w:tc>
        <w:tc>
          <w:tcPr>
            <w:tcW w:type="dxa" w:w="4814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Observação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Gênero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categoria Videomusical possui um único filme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Unidade federativa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4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Rio de Janeiro e São Paulo concentram 75,4%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Distribuidora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467</w:t>
            </w:r>
          </w:p>
        </w:tc>
        <w:tc>
          <w:tcPr>
            <w:tcW w:type="dxa" w:w="4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Duzentas e oitenta e sete aparecem em um único filme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Direção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1.738</w:t>
            </w:r>
          </w:p>
        </w:tc>
        <w:tc>
          <w:tcPr>
            <w:tcW w:type="dxa" w:w="4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Cardinalidade próxima de um identificador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Os dois extremos aparecem na mesma base. O gênero sofre do problema oposto ao da distribuidora: com apenas quatro categorias, é candidato natural à codificação direta, mas a categoria de registro único estará ausente do treino na maioria das partições. A distribuidora, com 467 categorias em 2.626 linhas, geraria mais dimensão do que informação.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Há ainda fragmentação de entidade que a contagem não captura. A base registra Downtown com 65 filmes, Paris com 59 e Downtown/Paris com 92 como três categorias distintas, embora se refiram às mesmas empresas em arranjos diferentes.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2.4 Fomento público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ANCINE publica quais obras tiveram investimento do Fundo Setorial do Audiovisual e quais tiveram projeto aprovado nas leis de incentivo. As junções são feitas pelo certificado de produto brasileiro e cobrem 67,1% dos filmes com certificado válido. O que torna esses atributos utilizáveis é que o fomento é aprovado antes de a obra existir, de modo que não há como carregar informação sobre o desempenho.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8"/>
        <w:gridCol w:w="1289"/>
        <w:gridCol w:w="1934"/>
        <w:gridCol w:w="1935"/>
      </w:tblGrid>
      <w:tr>
        <w:trPr>
          <w:tblHeader/>
        </w:trPr>
        <w:tc>
          <w:tcPr>
            <w:tcW w:type="dxa" w:w="3868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 do fomento</w:t>
            </w:r>
          </w:p>
        </w:tc>
        <w:tc>
          <w:tcPr>
            <w:tcW w:type="dxa" w:w="1289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Filmes</w:t>
            </w:r>
          </w:p>
        </w:tc>
        <w:tc>
          <w:tcPr>
            <w:tcW w:type="dxa" w:w="1934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Taxa de sucesso</w:t>
            </w:r>
          </w:p>
        </w:tc>
        <w:tc>
          <w:tcPr>
            <w:tcW w:type="dxa" w:w="193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Público mediano</w:t>
            </w:r>
          </w:p>
        </w:tc>
      </w:tr>
      <w:tr>
        <w:trPr>
          <w:tblHeader w:val="false"/>
        </w:trPr>
        <w:tc>
          <w:tcPr>
            <w:tcW w:type="dxa" w:w="38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 fomento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843</w:t>
            </w:r>
          </w:p>
        </w:tc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0,326</w:t>
            </w:r>
          </w:p>
        </w:tc>
        <w:tc>
          <w:tcPr>
            <w:tcW w:type="dxa" w:w="19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1.495</w:t>
            </w:r>
          </w:p>
        </w:tc>
      </w:tr>
      <w:tr>
        <w:trPr>
          <w:tblHeader w:val="false"/>
        </w:trPr>
        <w:tc>
          <w:tcPr>
            <w:tcW w:type="dxa" w:w="38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Apenas fundo setorial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339</w:t>
            </w:r>
          </w:p>
        </w:tc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0,401</w:t>
            </w:r>
          </w:p>
        </w:tc>
        <w:tc>
          <w:tcPr>
            <w:tcW w:type="dxa" w:w="19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535</w:t>
            </w:r>
          </w:p>
        </w:tc>
      </w:tr>
      <w:tr>
        <w:trPr>
          <w:tblHeader w:val="false"/>
        </w:trPr>
        <w:tc>
          <w:tcPr>
            <w:tcW w:type="dxa" w:w="38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Apenas leis de incentivo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932</w:t>
            </w:r>
          </w:p>
        </w:tc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0,547</w:t>
            </w:r>
          </w:p>
        </w:tc>
        <w:tc>
          <w:tcPr>
            <w:tcW w:type="dxa" w:w="19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7.472</w:t>
            </w:r>
          </w:p>
        </w:tc>
      </w:tr>
      <w:tr>
        <w:trPr>
          <w:tblHeader w:val="false"/>
        </w:trPr>
        <w:tc>
          <w:tcPr>
            <w:tcW w:type="dxa" w:w="38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Ambos os mecanismos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476</w:t>
            </w:r>
          </w:p>
        </w:tc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0,773</w:t>
            </w:r>
          </w:p>
        </w:tc>
        <w:tc>
          <w:tcPr>
            <w:tcW w:type="dxa" w:w="19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7.562</w:t>
            </w:r>
          </w:p>
        </w:tc>
      </w:tr>
    </w:tbl>
    <w:p>
      <w:pPr>
        <w:spacing w:after="80" w:before="200"/>
        <w:jc w:val="center"/>
      </w:pPr>
      <w:r>
        <w:drawing>
          <wp:inline distT="0" distB="0" distL="0" distR="0">
            <wp:extent cx="57150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2. Taxa de sucesso por origem do fomento e cobertura de cada mecanismo ao longo do tempo.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gradiente é forte e ordenado: a combinação dos dois mecanismos mais que dobra a taxa de sucesso em relação à ausência de fomento.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inversão está no grupo que recebeu apenas o fundo setorial. Sua taxa de sucesso é de 40,1%, mas o público mediano é de apenas 535 espectadores, abaixo dos 1.495 do grupo sem fomento algum. Um mecanismo que seleciona filmes situados acima da mediana do seu ano, mas cuja mediana absoluta é baixa, é um mecanismo que financia sobretudo documentário e produção de circuito limitado. Não se trata de crítica ao fundo, e sim de descrição do que ele financia.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Há um confundimento que precisa ser declarado. O fundo setorial foi criado em 2006, de modo que sua cobertura é nula na década de 1990 e alcança 63,3% na década de 2020. A correlação do atributo com o ano de lançamento é de 0,511, o que o torna em parte um marcador de filme recente. Isso não o invalida: dentro da década de 2010 isoladamente o gradiente se mantém, com 80,4% de sucesso para quem teve ambos os mecanismos contra 28,7% para quem não teve fomento. O efeito sobrevive ao controle temporal, mas a variável exige que o ano permaneça no modelo.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2.5 Relação de cada atributo com a variável-alvo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matriz de correlação mede atributo contra atributo. Falta a outra metade do que o enunciado solicita: a relação de cada atributo com a variável-alvo, que é binária e por isso exige duas medidas distintas. Para as numéricas utilizamos o coeficiente de Spearman; para as categóricas, o coeficiente V de Cramér, que varia de zero, na independência, a um, na determinação completa.</w:t>
      </w:r>
    </w:p>
    <w:p>
      <w:pPr>
        <w:spacing w:after="80" w:before="200"/>
        <w:jc w:val="center"/>
      </w:pPr>
      <w:r>
        <w:drawing>
          <wp:inline distT="0" distB="0" distL="0" distR="0">
            <wp:extent cx="57150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3. Associação de cada atributo com a variável-alvo, por tipo de atributo.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Este quadro fecha o argumento central do relatório. O ano de lançamento apresenta correlação de 0,002 com o alvo, e o número de filmes lançados no mesmo ano, 0,003. Ambos praticamente nulos.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Com o alvo global, o ano seria um dos atributos mais preditivos da base, porque a mediana global embute o calendário. Ao definir o alvo em relação à mediana do próprio ano, a informação temporal foi completamente neutralizada. Deixa de ser um argumento e passa a ser uma medida.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que resta, uma vez removido o atalho, são correlações modestas. Nenhuma variável numérica alcança 0,3, o que é esperado: se um atributo isolado explicasse o sucesso de um filme, não haveria indústria de cinema. O atributo honesto mais associado ao alvo é a quantidade de projetos aprovados nas leis de incentivo, com 0,274.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As categóricas alteram o ordenamento. Pelo coeficiente V de Cramér, o gênero é o atributo mais associado ao alvo em toda a base, com 0,338, à frente de qualquer numérica, seguido pela origem do fomento, com 0,320. Essa informação não apareceria na matriz de Spearman, que não opera sobre categóricas nominais. A implicação para a modelagem é que a codificação das categóricas importa mais que a transformação das numéricas nesta base.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2.6 Atributos ordinais e dimensão regional</w:t>
      </w:r>
    </w:p>
    <w:p>
      <w:pPr>
        <w:spacing w:after="80" w:before="200"/>
        <w:jc w:val="center"/>
      </w:pPr>
      <w:r>
        <w:drawing>
          <wp:inline distT="0" distB="0" distL="0" distR="0">
            <wp:extent cx="5715000" cy="154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4. Taxa de sucesso por experiência da direção, por porte da distribuidora e por unidade federativa.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experiência da direção apresenta gradiente crescente que satura. A taxa sobe de 0,43 entre estreantes para 0,69 entre direções estabelecidas, e a faixa veterana permanece em 0,69. Os primeiros filmes de carreira são os que mais alteram a chance de sucesso, e o retorno marginal desaparece em seguida. Trata-se de comportamento típico de variável de reputação, o que justifica ter agrupado a contagem em faixas em vez de utilizá-la crua.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porte da distribuidora não apresenta gradiente monótono, e esse é um achado. A taxa sobe de 0,38 na faixa inicial até 0,62 na faixa média, mas cai para 0,53 na faixa mais alta. A leitura é que o atributo mede volume de catálogo e não poder comercial: a distribuidora com mais filmes na base acumula 189 títulos, boa parte deles de circuito de arte. Uma variável ordinal cuja ordem não produz gradiente monótono continua informativa, mas adverte que o rótulo mais alto não significa o que o senso comum sugere.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Na dimensão regional, entre as unidades federativas com pelo menos trinta filmes, a taxa varia de 0,36 no Rio Grande do Sul a 0,55 no Rio de Janeiro, dezenove pontos de amplitude. Pernambuco aparece em segundo lugar, com 0,53 e noventa e dois filmes, à frente de São Paulo. Com essa amostra não se trata de ruído, e o resultado é consistente com o que se conhece sobre a produção pernambucana.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Cabe a ressalva de que se trata de associação e não de causalidade. A unidade federativa registrada é o endereço fiscal da produtora majoritária, não o local de filmagem nem o de exibição, e está confundida com gênero e com acesso a fomento.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3. Diagnóstico dos dados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3.1 Valores ausentes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1203"/>
        <w:gridCol w:w="3611"/>
      </w:tblGrid>
      <w:tr>
        <w:trPr>
          <w:tblHeader/>
        </w:trPr>
        <w:tc>
          <w:tcPr>
            <w:tcW w:type="dxa" w:w="4212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1203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Ausência</w:t>
            </w:r>
          </w:p>
        </w:tc>
        <w:tc>
          <w:tcPr>
            <w:tcW w:type="dxa" w:w="3611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Natureza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Unidade federativa da produtora minoritária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61,5%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Estrutural: não houve coprodução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Produtora minoritária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59,9%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Estrutural: não houve coprodução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População residente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23,3%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 junção: o IBGE não publica 1995 a 2000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Máximo de salas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2,13%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declarado, e não aleatório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Renda acumulada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0,95%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declarado na fonte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 acumulado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0,84%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declarado, e sem alvo definido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Tratar os quatro casos com a mesma imputação seria um erro, porque suas naturezas diferem. A ausência de produtora minoritária não é falta de dado: o filme simplesmente não teve coprodutora, e imputar inventaria coprodução onde não houve. Foi por isso que a base registra a coprodução como variável binária, pois a informação está na própria ausência.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ausência de população decorre da junção, já que o instituto não publica estimativa para os primeiros anos da série. É previsível, sistemática e afeta apenas anos antigos, o que significa que qualquer imputação teria de ser feita por interpolação temporal.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ausência do máximo de salas não é aleatória. Os filmes sem esse campo apresentam público mediano muito menor, de modo que a própria ausência informa que o filme teve carreira mínima. Imputar pela mediana global apagaria esse sinal.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3.2 Valores atípicos e consistência de domínio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critério de amplitude interquartil identifica 17,4% dos filmes como atípicos quanto ao público. Isso não indica erro nos dados, e sim que o critério é inadequado para esta distribuição. Em um regime de lei de potência, a cauda não é anomalia: é o fenômeno. Removê-la eliminaria justamente os casos que o modelo precisa aprender a reconhecer.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verificação de domínio confirma que os dados são consistentes. O preço médio implícito do ingresso, obtido pela razão entre renda e público, tem mediana de 11 reais e 16 centavos e permanece em faixa plausível em todos os registros, sem nenhum valor abaixo de um real ou acima de trinta e dois. Não há valores negativos. Os treze filmes com menos de dez espectadores são extremos, porém coerentes com lançamento de sala única em circuito restrito.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Quanto a registros duplicados, não há nenhum. Nenhuma linha é idêntica a outra e nenhum certificado se repete. Os seis títulos repetidos ocorrem em anos distintos e correspondem a refilmagens e homônimos, que são registros legítimos.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3.3 Desbalanceamento da variável-alvo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Considerada globalmente, a variável-alvo é equilibrada, com 50,0% de positivos no alvo global e 49,7% no alvo relativo ao ano. Se a análise parasse aqui, concluiríamos que não há problema de balanceamento. Desagregada por década, a situação se inverte.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2"/>
        <w:gridCol w:w="3282"/>
        <w:gridCol w:w="3282"/>
      </w:tblGrid>
      <w:tr>
        <w:trPr>
          <w:tblHeader/>
        </w:trPr>
        <w:tc>
          <w:tcPr>
            <w:tcW w:type="dxa" w:w="2462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Década</w:t>
            </w:r>
          </w:p>
        </w:tc>
        <w:tc>
          <w:tcPr>
            <w:tcW w:type="dxa" w:w="3282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Sucesso global</w:t>
            </w:r>
          </w:p>
        </w:tc>
        <w:tc>
          <w:tcPr>
            <w:tcW w:type="dxa" w:w="3282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Sucesso no ano</w:t>
            </w:r>
          </w:p>
        </w:tc>
      </w:tr>
      <w:tr>
        <w:trPr>
          <w:tblHeader w:val="false"/>
        </w:trPr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1990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0,856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0,490</w:t>
            </w:r>
          </w:p>
        </w:tc>
      </w:tr>
      <w:tr>
        <w:trPr>
          <w:tblHeader w:val="false"/>
        </w:trPr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2000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0,757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0,495</w:t>
            </w:r>
          </w:p>
        </w:tc>
      </w:tr>
      <w:tr>
        <w:trPr>
          <w:tblHeader w:val="false"/>
        </w:trPr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2010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0,502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0,498</w:t>
            </w:r>
          </w:p>
        </w:tc>
      </w:tr>
      <w:tr>
        <w:trPr>
          <w:tblHeader w:val="false"/>
        </w:trPr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2020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0,263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0,497</w:t>
            </w:r>
          </w:p>
        </w:tc>
      </w:tr>
    </w:tbl>
    <w:p>
      <w:pPr>
        <w:spacing w:after="80" w:before="200"/>
        <w:jc w:val="center"/>
      </w:pPr>
      <w:r>
        <w:drawing>
          <wp:inline distT="0" distB="0" distL="0" distR="0">
            <wp:extent cx="44767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5. Taxa de positivos por década, segundo a definição de alvo adotada.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Com o alvo global, a diferença entre a primeira e a última década alcança quase sessenta pontos percentuais. O alvo não está medindo sucesso: está medindo antiguidade. Um modelo com acesso ao ano de lançamento encontra esse atalho, alcança desempenho elevado e não aprende nada sobre cinema.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Com o alvo relativo ao ano, as quatro décadas permanecem próximas de 0,50 por construção. O atalho desaparece e o modelo passa a comparar cada filme com seus contemporâneos.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desbalanceamento desta base, portanto, não está na proporção global de classes, e sim na distribuição condicional do alvo ao longo do tempo. É por essa razão que técnicas de reamostragem não resolveriam nada aqui: o problema não é falta de exemplos de uma classe, e sim uma definição de alvo que embute a variável errada.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3.4 Redundância e vazamento de informação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Quatro pares de atributos apresentam correlação absoluta superior a 0,70. Dois configuram vazamento e dois configuram redundância genuína. A renda deflacionada tem correlação de 0,994 com o público, por ser o mesmo fenômeno em outra unidade. O ano e o número de filmes lançados no ano chegam a 0,862, porque o mercado cresceu. O histórico da direção e a indicação de estreia alcançam 0,978, redundância que nós mesmos introduzimos ao binarizar uma contagem.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número de unidades federativas tem sua moda concentrando 97,1% dos registros, o que na prática o torna constante.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Três atributos da base são medidos depois do lançamento. A renda é vazamento direto, por equivaler ao público multiplicado pelo preço do ingresso. O máximo de salas é vazamento provável e merece atenção porque é sedutor: parece uma característica de lançamento, e a proposta inicial do trabalho o listava como atributo. O campo, porém, registra o máximo atingido durante a carreira, não o número de salas na estreia. Distribuidoras ampliam a exibição de um filme que vai bem e recolhem a de um filme que não vai, de modo que o número de salas é, em parte, consequência do sucesso e não causa.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Sem a data de estreia e sem a curva semanal de salas não é possível separar a parcela decidida antes do lançamento daquela que reagiu ao desempenho. Diante disso, a posição do grupo é excluir o atributo do conjunto principal e reportar separadamente quanto ele valeria.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4. Discussão inicial e hipóteses de pré-processamento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Uma hipótese sem medida é palpite. Para cada decisão em aberto, executamos um protocolo fixo, composto por floresta aleatória com validação cruzada em cinco partições estratificadas, mantendo todo o pré-processamento dentro de cada partição. O que se compara é sempre a diferença entre duas versões da base.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Cabe uma distinção importante. Isto não é a modelagem da segunda entrega. O modelo aqui funciona como instrumento de medida, à maneira de um termômetro, e nenhum destes valores será reportado como desempenho do trabalho. A base entregue permanece sem imputação, sem remoção de valores atípicos e sem codificação, como o enunciado exige de uma entrega exploratória.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2257"/>
        <w:gridCol w:w="3159"/>
      </w:tblGrid>
      <w:tr>
        <w:trPr>
          <w:tblHeader/>
        </w:trPr>
        <w:tc>
          <w:tcPr>
            <w:tcW w:type="dxa" w:w="361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Hipótese</w:t>
            </w:r>
          </w:p>
        </w:tc>
        <w:tc>
          <w:tcPr>
            <w:tcW w:type="dxa" w:w="225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Decorre de</w:t>
            </w:r>
          </w:p>
        </w:tc>
        <w:tc>
          <w:tcPr>
            <w:tcW w:type="dxa" w:w="3159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Impacto medido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Adotar o alvo relativo ao ano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global embute o calendário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Custa 0,062 e elimina o atalho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Excluir renda e máximo de salas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Atributos posteriores ao lançamento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Custa 0,163 e torna o resultado honesto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Aplicar logaritmo apenas onde há efeito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Assimetria de 10,0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Ganha 0,024 no modelo linear e nada na árvore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Agrupar distribuidoras de baixa frequência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467 categorias, 287 com um filme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Custa 0,009 e reduz em 380 colunas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Indicar ausência em vez de imputar o máximo de salas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Ausência não aleatória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Preserva o sinal informativo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Usar a unidade federativa extraída por análise sintática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87 valores distintos para 27 possíveis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Reduz de 87 para 24 categorias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Escolher entre ano e filmes lançados no ano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Correlação de 0,862 entre eles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Reduz variância no modelo linear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Remover o número de unidades federativas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Moda concentra 97,1%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Efeito indistinguível de zero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Validar por partição temporal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uso real é prever filme não estreado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Custa 0,087 e corresponde à aplicação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aplicar balanceamento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Classes já equilibradas por construção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há minoria a reforçar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remover a cauda como valor atípico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cauda é o fenômeno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Preserva o que se quer prever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Descartar, e não imputar, os registros sem alvo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Vinte e dois filmes sem público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Rótulo não se inventa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aplicar redução de dimensionalidade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Onze numéricas úteis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gargalo é categórico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Usar o fomento direto apenas com o ano no modelo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Correlação de 0,511 com o ano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Controla o confundimento temporal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Três dessas hipóteses são de não fazer, e estão relacionadas porque decidir não aplicar uma técnica exige a mesma evidência que decidir aplicá-la. Aplicar reamostragem a uma base equilibrada ou remover dezessete por cento dos filmes como atípicos seria cumprir formalidade, e o enunciado cobra que toda decisão seja justificada, inclusive a de não intervir.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5. Conclusão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Reunindo as medições, o conjunto honesto de atributos, com alvo relativo ao ano e validação temporal, alcança desempenho de 0,725. O caminho fácil, com alvo global, renda e máximo de salas incluídos e partição aleatória, alcança 0,995.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Quase trinta pontos separam as duas versões, e nenhuma linha de código as distingue à primeira vista. As duas executam sem erro, as duas produzem matriz de confusão e curva característica de operação, e a primeira parece muito melhor.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desafio central desta base não é técnico. Não consiste em encontrar o modelo certo nem em ajustar hiperparâmetros, e sim em resistir aos três atalhos. Cada um deles é uma escolha razoável à primeira vista: a renda está na base e correlaciona de forma impressionante, o número de salas parece uma característica de lançamento, e a partição aleatória é o padrão de qualquer tutorial.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Um resultado adicional merece registro. O teto honesto é modesto. Com desempenho em torno de 0,73 na partição temporal, um modelo que utilize apenas informação anterior à estreia acerta bastante mais que o acaso, mas está longe de determinar o sucesso. Isso é coerente com a análise de correlação, que não encontrou nenhum atributo honesto fortemente associado ao público, e com o que se conhece do setor: o desempenho de um filme depende de recomendação boca a boca, crítica, concorrência na semana de estreia e campanha de divulgação, nenhum dos quais está na base.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Declarar isso é parte do resultado. Um trabalho que reportasse desempenho de 0,99 sobre estes dados não teria encontrado um bom modelo. Teria encontrado um vazamento.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Referências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AGÊNCIA NACIONAL DO CINEMA. Listagem dos filmes brasileiros lançados comercialmente em salas de exibição, 1995 a 2024. Observatório Brasileiro do Cinema e do Audiovisual. Acesso em 10 set. 2026.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AGÊNCIA NACIONAL DO CINEMA. Obras não publicitárias brasileiras com investimento do Fundo Setorial do Audiovisual. Portal de dados abertos. Acesso em 10 set. 2026.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AGÊNCIA NACIONAL DO CINEMA. Obras não publicitárias brasileiras com fomento indireto aprovado. Portal de dados abertos. Acesso em 10 set. 2026.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BANCO CENTRAL DO BRASIL. Índice nacional de preços ao consumidor amplo, variação percentual mensal. Série 433 do Sistema Gerenciador de Séries Temporais. Acesso em 10 set. 2026.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INSTITUTO BRASILEIRO DE GEOGRAFIA E ESTATÍSTICA. População residente estimada. Agregado 6579, variável 9324. Acesso em 10 set. 2026.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0714067f3354da6c31068933a1355be278779f4.png"/><Relationship Id="rId8" Type="http://schemas.openxmlformats.org/officeDocument/2006/relationships/image" Target="media/c2cc0f6d0a74d7bcf1ccb5ecbe93a7bf23de2433.png"/><Relationship Id="rId9" Type="http://schemas.openxmlformats.org/officeDocument/2006/relationships/image" Target="media/258401d1747e023d76cedd5c1cc44f0be7ffd83d.png"/><Relationship Id="rId10" Type="http://schemas.openxmlformats.org/officeDocument/2006/relationships/image" Target="media/12e4faecf9ac335222239cf008f0d9d0fd49bb24.png"/><Relationship Id="rId11" Type="http://schemas.openxmlformats.org/officeDocument/2006/relationships/image" Target="media/7a4a7532cd1c5e207bbb8a1934087678afa4261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1: Análise Exploratória de Dados</dc:title>
  <dc:creator>Grupo 11</dc:creator>
  <cp:lastModifiedBy>Un-named</cp:lastModifiedBy>
  <cp:revision>1</cp:revision>
  <dcterms:created xsi:type="dcterms:W3CDTF">2026-09-11T13:39:55.805Z</dcterms:created>
  <dcterms:modified xsi:type="dcterms:W3CDTF">2026-09-11T13:39:55.806Z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