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88D6" w14:textId="77777777" w:rsidR="00001CF4" w:rsidRDefault="00001CF4">
      <w:pPr>
        <w:pStyle w:val="Title"/>
      </w:pPr>
      <w:r>
        <w:t>Supply Chain Issue Analysis Report</w:t>
      </w:r>
    </w:p>
    <w:p w14:paraId="418963F3" w14:textId="77777777" w:rsidR="00001CF4" w:rsidRDefault="00001CF4">
      <w:pPr>
        <w:pStyle w:val="Heading1"/>
        <w:rPr>
          <w:rFonts w:asciiTheme="minorHAnsi" w:hAnsiTheme="minorHAnsi" w:cstheme="minorBidi"/>
        </w:rPr>
      </w:pPr>
      <w:r>
        <w:rPr>
          <w:rFonts w:asciiTheme="minorHAnsi" w:hAnsiTheme="minorHAnsi" w:cstheme="minorBidi"/>
        </w:rPr>
        <w:t>Executive Summary</w:t>
      </w:r>
    </w:p>
    <w:p w14:paraId="772A1C62" w14:textId="77777777" w:rsidR="00001CF4" w:rsidRDefault="00001CF4">
      <w:r>
        <w:t xml:space="preserve">The Excel analysis indicates a mixed supplier risk environment with several components facing elevated schedule, quality, and fulfillment concerns. The most immediate issues center on BIND567, COMP042, and COMP043, which were highlighted as delayed or potentially disruptive components. BIND567 shows an extended delivery timeline of 64 days, making it the clearest continuity-of-supply concern despite strong supplier reliability and on-time delivery history. COMP042 presents a medium-risk delay profile with a 13-day timeline and moderate supplier reliability, while COMP043 combines a short delivery window with a relatively high defect rate and weak forecast accuracy, creating both supply and quality exposure. Across the broader dataset, supplier performance is uneven: </w:t>
      </w:r>
      <w:proofErr w:type="spellStart"/>
      <w:r>
        <w:t>PrimeLogistics</w:t>
      </w:r>
      <w:proofErr w:type="spellEnd"/>
      <w:r>
        <w:t xml:space="preserve"> has the highest average defect rate among listed suppliers, </w:t>
      </w:r>
      <w:proofErr w:type="spellStart"/>
      <w:r>
        <w:t>EcoSupply</w:t>
      </w:r>
      <w:proofErr w:type="spellEnd"/>
      <w:r>
        <w:t xml:space="preserve"> has the lowest average on-time delivery rate among major suppliers in the insight summary, and COAT890 shows notably weaker on-time delivery performance than the other delayed components. Overall, the analysis suggests that compliance risk is driven less by a single failure point and more by the combined effect of delay variability, forecast gaps, and component-level quality risk that could affect production continuity and documentation readiness.</w:t>
      </w:r>
    </w:p>
    <w:p w14:paraId="7BC23627" w14:textId="77777777" w:rsidR="00001CF4" w:rsidRDefault="00001CF4">
      <w:pPr>
        <w:pStyle w:val="Heading1"/>
        <w:rPr>
          <w:rFonts w:asciiTheme="minorHAnsi" w:hAnsiTheme="minorHAnsi" w:cstheme="minorBidi"/>
        </w:rPr>
      </w:pPr>
      <w:r>
        <w:rPr>
          <w:rFonts w:asciiTheme="minorHAnsi" w:hAnsiTheme="minorHAnsi" w:cstheme="minorBidi"/>
        </w:rPr>
        <w:t>Component Overview</w:t>
      </w:r>
    </w:p>
    <w:p w14:paraId="71DCA0E4" w14:textId="77777777" w:rsidR="00001CF4" w:rsidRDefault="00001CF4">
      <w:r>
        <w:rPr>
          <w:b/>
          <w:bCs/>
        </w:rPr>
        <w:t>1. BIND567</w:t>
      </w:r>
      <w:r>
        <w:br/>
      </w:r>
      <w:r>
        <w:rPr>
          <w:b/>
          <w:bCs/>
        </w:rPr>
        <w:t>Supplier:</w:t>
      </w:r>
      <w:r>
        <w:t xml:space="preserve"> </w:t>
      </w:r>
      <w:proofErr w:type="spellStart"/>
      <w:r>
        <w:t>EcoSupply</w:t>
      </w:r>
      <w:proofErr w:type="spellEnd"/>
      <w:r>
        <w:br/>
      </w:r>
      <w:r>
        <w:rPr>
          <w:b/>
          <w:bCs/>
        </w:rPr>
        <w:t>Supply Chain Expected Date:</w:t>
      </w:r>
      <w:r>
        <w:t xml:space="preserve"> 15-Dec-2024</w:t>
      </w:r>
      <w:r>
        <w:br/>
      </w:r>
      <w:r>
        <w:rPr>
          <w:b/>
          <w:bCs/>
        </w:rPr>
        <w:t>Risk Level:</w:t>
      </w:r>
      <w:r>
        <w:t xml:space="preserve"> Medium</w:t>
      </w:r>
      <w:r>
        <w:br/>
      </w:r>
      <w:r>
        <w:rPr>
          <w:b/>
          <w:bCs/>
        </w:rPr>
        <w:t>Delivery Timeline:</w:t>
      </w:r>
      <w:r>
        <w:t xml:space="preserve"> 64 days</w:t>
      </w:r>
      <w:r>
        <w:br/>
      </w:r>
      <w:r>
        <w:rPr>
          <w:b/>
          <w:bCs/>
        </w:rPr>
        <w:t>Issue Summary:</w:t>
      </w:r>
      <w:r>
        <w:t xml:space="preserve"> BIND567 is the most time-exposed component in the analysis. Although </w:t>
      </w:r>
      <w:proofErr w:type="spellStart"/>
      <w:r>
        <w:t>EcoSupply</w:t>
      </w:r>
      <w:proofErr w:type="spellEnd"/>
      <w:r>
        <w:t xml:space="preserve"> shows strong reliability (99%) and high on-time delivery performance for this component, the extended lead time and 26-day lead time variance indicate a heightened risk of schedule slippage if any upstream disruption occurs.</w:t>
      </w:r>
    </w:p>
    <w:p w14:paraId="324E1F81" w14:textId="77777777" w:rsidR="00001CF4" w:rsidRDefault="00001CF4">
      <w:r>
        <w:rPr>
          <w:b/>
          <w:bCs/>
        </w:rPr>
        <w:t>2. COMP042</w:t>
      </w:r>
      <w:r>
        <w:br/>
      </w:r>
      <w:r>
        <w:rPr>
          <w:b/>
          <w:bCs/>
        </w:rPr>
        <w:t>Supplier:</w:t>
      </w:r>
      <w:r>
        <w:t xml:space="preserve"> </w:t>
      </w:r>
      <w:proofErr w:type="spellStart"/>
      <w:r>
        <w:t>PrimeLogistics</w:t>
      </w:r>
      <w:proofErr w:type="spellEnd"/>
      <w:r>
        <w:br/>
      </w:r>
      <w:r>
        <w:rPr>
          <w:b/>
          <w:bCs/>
        </w:rPr>
        <w:t>Supply Chain Expected Date:</w:t>
      </w:r>
      <w:r>
        <w:t xml:space="preserve"> 18-Dec-2024</w:t>
      </w:r>
      <w:r>
        <w:br/>
      </w:r>
      <w:r>
        <w:rPr>
          <w:b/>
          <w:bCs/>
        </w:rPr>
        <w:t>Risk Level:</w:t>
      </w:r>
      <w:r>
        <w:t xml:space="preserve"> Medium</w:t>
      </w:r>
      <w:r>
        <w:br/>
      </w:r>
      <w:r>
        <w:rPr>
          <w:b/>
          <w:bCs/>
        </w:rPr>
        <w:lastRenderedPageBreak/>
        <w:t>Delivery Timeline:</w:t>
      </w:r>
      <w:r>
        <w:t xml:space="preserve"> 13 days</w:t>
      </w:r>
      <w:r>
        <w:br/>
      </w:r>
      <w:r>
        <w:rPr>
          <w:b/>
          <w:bCs/>
        </w:rPr>
        <w:t>Issue Summary:</w:t>
      </w:r>
      <w:r>
        <w:t xml:space="preserve"> COMP042 is on a shorter timeline than BIND567 but remains operationally sensitive because of moderate supplier reliability (92%), lower on-time delivery performance (86%), and a material backorder volume. The component appears manageable, but it may require active intervention to avoid near-term production impact.</w:t>
      </w:r>
    </w:p>
    <w:p w14:paraId="5774D944" w14:textId="77777777" w:rsidR="00001CF4" w:rsidRDefault="00001CF4">
      <w:r>
        <w:rPr>
          <w:b/>
          <w:bCs/>
        </w:rPr>
        <w:t>3. COMP043</w:t>
      </w:r>
      <w:r>
        <w:br/>
      </w:r>
      <w:r>
        <w:rPr>
          <w:b/>
          <w:bCs/>
        </w:rPr>
        <w:t>Supplier:</w:t>
      </w:r>
      <w:r>
        <w:t xml:space="preserve"> NextGen Pharma</w:t>
      </w:r>
      <w:r>
        <w:br/>
      </w:r>
      <w:r>
        <w:rPr>
          <w:b/>
          <w:bCs/>
        </w:rPr>
        <w:t>Supply Chain Expected Date:</w:t>
      </w:r>
      <w:r>
        <w:t xml:space="preserve"> 19-Dec-2024</w:t>
      </w:r>
      <w:r>
        <w:br/>
      </w:r>
      <w:r>
        <w:rPr>
          <w:b/>
          <w:bCs/>
        </w:rPr>
        <w:t>Risk Level:</w:t>
      </w:r>
      <w:r>
        <w:t xml:space="preserve"> Medium</w:t>
      </w:r>
      <w:r>
        <w:br/>
      </w:r>
      <w:r>
        <w:rPr>
          <w:b/>
          <w:bCs/>
        </w:rPr>
        <w:t>Delivery Timeline:</w:t>
      </w:r>
      <w:r>
        <w:t xml:space="preserve"> 8 days</w:t>
      </w:r>
      <w:r>
        <w:br/>
      </w:r>
      <w:r>
        <w:rPr>
          <w:b/>
          <w:bCs/>
        </w:rPr>
        <w:t>Issue Summary:</w:t>
      </w:r>
      <w:r>
        <w:t xml:space="preserve"> COMP043 has the shortest timeline among the highlighted components, but its profile is riskier from a quality and planning standpoint. The defect rate is 4.89%, forecast accuracy is 80%, and current inventory is relatively limited against daily usage, increasing the likelihood of quality-related rework or replenishment pressure if demand rises unexpectedly.</w:t>
      </w:r>
    </w:p>
    <w:p w14:paraId="31452523" w14:textId="77777777" w:rsidR="00001CF4" w:rsidRDefault="00001CF4">
      <w:pPr>
        <w:pStyle w:val="Heading1"/>
        <w:rPr>
          <w:rFonts w:asciiTheme="minorHAnsi" w:hAnsiTheme="minorHAnsi" w:cstheme="minorBidi"/>
        </w:rPr>
      </w:pPr>
      <w:r>
        <w:rPr>
          <w:rFonts w:asciiTheme="minorHAnsi" w:hAnsiTheme="minorHAnsi" w:cstheme="minorBidi"/>
        </w:rPr>
        <w:t>Implications for Compliance</w:t>
      </w:r>
    </w:p>
    <w:p w14:paraId="026E31B6" w14:textId="77777777" w:rsidR="00001CF4" w:rsidRDefault="00001CF4">
      <w:r>
        <w:rPr>
          <w:b/>
          <w:bCs/>
        </w:rPr>
        <w:t>Continuity of Supply:</w:t>
      </w:r>
      <w:r>
        <w:t xml:space="preserve"> Extended or variable delivery timelines increase the risk that critical materials will not be available when needed for production, which can undermine controlled manufacturing schedules and create pressure to deviate from standard planning processes.</w:t>
      </w:r>
    </w:p>
    <w:p w14:paraId="315A2C5A" w14:textId="77777777" w:rsidR="00001CF4" w:rsidRDefault="00001CF4">
      <w:r>
        <w:rPr>
          <w:b/>
          <w:bCs/>
        </w:rPr>
        <w:t>Documentation and Traceability:</w:t>
      </w:r>
      <w:r>
        <w:t xml:space="preserve"> Delayed or expedited shipments often require additional tracking, exception management, and supplier communications. If these records are incomplete or inconsistent, the organization may face gaps in audit readiness and difficulty demonstrating end-to-end traceability.</w:t>
      </w:r>
    </w:p>
    <w:p w14:paraId="5CCF47A1" w14:textId="77777777" w:rsidR="00001CF4" w:rsidRDefault="00001CF4">
      <w:r>
        <w:rPr>
          <w:b/>
          <w:bCs/>
        </w:rPr>
        <w:t>Quality Risk:</w:t>
      </w:r>
      <w:r>
        <w:t xml:space="preserve"> Higher defect rates, especially for COMP043 and certain </w:t>
      </w:r>
      <w:proofErr w:type="spellStart"/>
      <w:r>
        <w:t>PrimeLogistics</w:t>
      </w:r>
      <w:proofErr w:type="spellEnd"/>
      <w:r>
        <w:t>-supplied components in the broader dataset, increase the probability of inspection failures, rework, or rejected batches. This can create downstream pressure on release timelines and increase the burden on quality assurance controls.</w:t>
      </w:r>
    </w:p>
    <w:p w14:paraId="5F0392C3" w14:textId="77777777" w:rsidR="00001CF4" w:rsidRDefault="00001CF4">
      <w:r>
        <w:rPr>
          <w:b/>
          <w:bCs/>
        </w:rPr>
        <w:t>Production Downtime and Change Control:</w:t>
      </w:r>
      <w:r>
        <w:t xml:space="preserve"> Inventory depletion or supplier delays may force schedule changes, sourcing changes, or emergency logistics actions. Each of these can trigger additional review and approval steps, and if not tightly controlled, may increase compliance exposure.</w:t>
      </w:r>
    </w:p>
    <w:p w14:paraId="6DA6C87C" w14:textId="77777777" w:rsidR="00001CF4" w:rsidRDefault="00001CF4">
      <w:pPr>
        <w:pStyle w:val="Heading1"/>
        <w:rPr>
          <w:rFonts w:asciiTheme="minorHAnsi" w:hAnsiTheme="minorHAnsi" w:cstheme="minorBidi"/>
        </w:rPr>
      </w:pPr>
      <w:r>
        <w:rPr>
          <w:rFonts w:asciiTheme="minorHAnsi" w:hAnsiTheme="minorHAnsi" w:cstheme="minorBidi"/>
        </w:rPr>
        <w:lastRenderedPageBreak/>
        <w:t>Root Cause Analysis</w:t>
      </w:r>
    </w:p>
    <w:p w14:paraId="36871F09" w14:textId="77777777" w:rsidR="00001CF4" w:rsidRDefault="00001CF4">
      <w:r>
        <w:rPr>
          <w:b/>
          <w:bCs/>
        </w:rPr>
        <w:t>BIND567:</w:t>
      </w:r>
      <w:r>
        <w:t xml:space="preserve"> The primary concern is structural lead time rather than immediate supplier underperformance. </w:t>
      </w:r>
      <w:proofErr w:type="spellStart"/>
      <w:r>
        <w:t>EcoSupply</w:t>
      </w:r>
      <w:proofErr w:type="spellEnd"/>
      <w:r>
        <w:t xml:space="preserve"> appears operationally reliable for this component, but the 64-day delivery timeline and 26-day lead time variance suggest a long replenishment cycle with limited tolerance for disruption. Root causes likely include extended inbound material flow, limited flexibility in scheduling, and insufficient contingency planning for a long-cycle part.</w:t>
      </w:r>
    </w:p>
    <w:p w14:paraId="41D5F82B" w14:textId="77777777" w:rsidR="00001CF4" w:rsidRDefault="00001CF4">
      <w:r>
        <w:rPr>
          <w:b/>
          <w:bCs/>
        </w:rPr>
        <w:t>COMP042:</w:t>
      </w:r>
      <w:r>
        <w:t xml:space="preserve"> The main issues appear to be supplier execution consistency and service performance. </w:t>
      </w:r>
      <w:proofErr w:type="spellStart"/>
      <w:r>
        <w:t>PrimeLogistics</w:t>
      </w:r>
      <w:proofErr w:type="spellEnd"/>
      <w:r>
        <w:t>’ broader supplier averages show lower on-time delivery and the highest average defect rate among suppliers in the insight summary. For COMP042 specifically, the combination of a 13-day timeline, 86% on-time delivery rate, and backorder volume indicates risk driven by fulfillment variability and potentially weak coordination between order planning and supplier response.</w:t>
      </w:r>
    </w:p>
    <w:p w14:paraId="55E9A474" w14:textId="77777777" w:rsidR="00001CF4" w:rsidRDefault="00001CF4">
      <w:r>
        <w:rPr>
          <w:b/>
          <w:bCs/>
        </w:rPr>
        <w:t>COMP043:</w:t>
      </w:r>
      <w:r>
        <w:t xml:space="preserve"> This component’s risk is driven by quality and planning discipline. The defect rate of 4.89% is materially above the stronger-performing records in the </w:t>
      </w:r>
      <w:proofErr w:type="gramStart"/>
      <w:r>
        <w:t>dataset, and</w:t>
      </w:r>
      <w:proofErr w:type="gramEnd"/>
      <w:r>
        <w:t xml:space="preserve"> forecast accuracy of 80% suggests demand alignment is weak. In practical terms, the likely root causes are forecasting gaps, inventory positioning that may not sufficiently absorb demand volatility, and the possibility of recurring quality escapes that reduce usable supply.</w:t>
      </w:r>
    </w:p>
    <w:p w14:paraId="361B166F" w14:textId="77777777" w:rsidR="00001CF4" w:rsidRDefault="00001CF4">
      <w:pPr>
        <w:pStyle w:val="Heading1"/>
        <w:rPr>
          <w:rFonts w:asciiTheme="minorHAnsi" w:hAnsiTheme="minorHAnsi" w:cstheme="minorBidi"/>
        </w:rPr>
      </w:pPr>
      <w:r>
        <w:rPr>
          <w:rFonts w:asciiTheme="minorHAnsi" w:hAnsiTheme="minorHAnsi" w:cstheme="minorBidi"/>
        </w:rPr>
        <w:t>Mitigation Strategies</w:t>
      </w:r>
    </w:p>
    <w:p w14:paraId="0584CA82" w14:textId="77777777" w:rsidR="00001CF4" w:rsidRDefault="00001CF4">
      <w:pPr>
        <w:pStyle w:val="Heading2"/>
        <w:rPr>
          <w:rFonts w:asciiTheme="minorHAnsi" w:hAnsiTheme="minorHAnsi" w:cstheme="minorBidi"/>
        </w:rPr>
      </w:pPr>
      <w:r>
        <w:rPr>
          <w:rFonts w:asciiTheme="minorHAnsi" w:hAnsiTheme="minorHAnsi" w:cstheme="minorBidi"/>
        </w:rPr>
        <w:t>General Strategies</w:t>
      </w:r>
    </w:p>
    <w:p w14:paraId="68A89C43" w14:textId="77777777" w:rsidR="00001CF4" w:rsidRDefault="00001CF4" w:rsidP="00001CF4">
      <w:pPr>
        <w:pStyle w:val="ListParagraph"/>
        <w:numPr>
          <w:ilvl w:val="0"/>
          <w:numId w:val="1"/>
        </w:numPr>
      </w:pPr>
      <w:r>
        <w:t xml:space="preserve">Increase monitoring of long-cycle and medium-to-high risk components through a weekly supply review that includes lead time variance, </w:t>
      </w:r>
      <w:proofErr w:type="gramStart"/>
      <w:r>
        <w:t>backorder</w:t>
      </w:r>
      <w:proofErr w:type="gramEnd"/>
      <w:r>
        <w:t xml:space="preserve"> volume, defect rate, and inventory coverage.</w:t>
      </w:r>
    </w:p>
    <w:p w14:paraId="277F98CC" w14:textId="77777777" w:rsidR="00001CF4" w:rsidRDefault="00001CF4" w:rsidP="00001CF4">
      <w:pPr>
        <w:pStyle w:val="ListParagraph"/>
        <w:numPr>
          <w:ilvl w:val="0"/>
          <w:numId w:val="1"/>
        </w:numPr>
      </w:pPr>
      <w:r>
        <w:t>Strengthen supplier governance by reviewing contract terms, escalation paths, and service-level expectations for suppliers with weaker delivery or quality metrics.</w:t>
      </w:r>
    </w:p>
    <w:p w14:paraId="65159782" w14:textId="77777777" w:rsidR="00001CF4" w:rsidRDefault="00001CF4" w:rsidP="00001CF4">
      <w:pPr>
        <w:pStyle w:val="ListParagraph"/>
        <w:numPr>
          <w:ilvl w:val="0"/>
          <w:numId w:val="1"/>
        </w:numPr>
      </w:pPr>
      <w:r>
        <w:t>Reassess safety stock and reorder points for components with high production usage rates or limited tolerance for disruption.</w:t>
      </w:r>
    </w:p>
    <w:p w14:paraId="0862486C" w14:textId="77777777" w:rsidR="00001CF4" w:rsidRDefault="00001CF4" w:rsidP="00001CF4">
      <w:pPr>
        <w:pStyle w:val="ListParagraph"/>
        <w:numPr>
          <w:ilvl w:val="0"/>
          <w:numId w:val="1"/>
        </w:numPr>
      </w:pPr>
      <w:r>
        <w:t>Use expedited shipping selectively for components where schedule protection justifies the added logistics cost.</w:t>
      </w:r>
    </w:p>
    <w:p w14:paraId="3D8103D1" w14:textId="77777777" w:rsidR="00001CF4" w:rsidRDefault="00001CF4" w:rsidP="00001CF4">
      <w:pPr>
        <w:pStyle w:val="ListParagraph"/>
        <w:numPr>
          <w:ilvl w:val="0"/>
          <w:numId w:val="1"/>
        </w:numPr>
      </w:pPr>
      <w:r>
        <w:t>Prepare compliance-ready documentation for exceptions, supplier communications, and any sourcing or scheduling changes triggered by supply disruption.</w:t>
      </w:r>
    </w:p>
    <w:p w14:paraId="0480327D" w14:textId="77777777" w:rsidR="00001CF4" w:rsidRDefault="00001CF4">
      <w:pPr>
        <w:pStyle w:val="Heading2"/>
        <w:rPr>
          <w:rFonts w:asciiTheme="minorHAnsi" w:hAnsiTheme="minorHAnsi" w:cstheme="minorBidi"/>
        </w:rPr>
      </w:pPr>
      <w:r>
        <w:rPr>
          <w:rFonts w:asciiTheme="minorHAnsi" w:hAnsiTheme="minorHAnsi" w:cstheme="minorBidi"/>
        </w:rPr>
        <w:lastRenderedPageBreak/>
        <w:t>Component-Specific Strategies</w:t>
      </w:r>
    </w:p>
    <w:p w14:paraId="6BB3C873" w14:textId="77777777" w:rsidR="00001CF4" w:rsidRDefault="00001CF4">
      <w:r>
        <w:rPr>
          <w:b/>
          <w:bCs/>
        </w:rPr>
        <w:t>BIND567:</w:t>
      </w:r>
      <w:r>
        <w:t xml:space="preserve"> Increase buffer inventory and evaluate whether part of the 64-day cycle can be reduced through earlier ordering, alternate transport options, or staged delivery commitments from </w:t>
      </w:r>
      <w:proofErr w:type="spellStart"/>
      <w:r>
        <w:t>EcoSupply</w:t>
      </w:r>
      <w:proofErr w:type="spellEnd"/>
      <w:r>
        <w:t>. Because supplier reliability is high, the emphasis should be on resiliency planning rather than supplier replacement.</w:t>
      </w:r>
    </w:p>
    <w:p w14:paraId="19CE9A39" w14:textId="77777777" w:rsidR="00001CF4" w:rsidRDefault="00001CF4">
      <w:r>
        <w:rPr>
          <w:b/>
          <w:bCs/>
        </w:rPr>
        <w:t>COMP042:</w:t>
      </w:r>
      <w:r>
        <w:t xml:space="preserve"> Work with </w:t>
      </w:r>
      <w:proofErr w:type="spellStart"/>
      <w:r>
        <w:t>PrimeLogistics</w:t>
      </w:r>
      <w:proofErr w:type="spellEnd"/>
      <w:r>
        <w:t xml:space="preserve"> on near-term shipping acceleration and tighter order planning. Review open backorders, align replenishment timing to actual usage demand, and consider temporary safety stock increases until service performance stabilizes.</w:t>
      </w:r>
    </w:p>
    <w:p w14:paraId="0FEB1749" w14:textId="77777777" w:rsidR="00001CF4" w:rsidRDefault="00001CF4">
      <w:r>
        <w:rPr>
          <w:b/>
          <w:bCs/>
        </w:rPr>
        <w:t>COMP043:</w:t>
      </w:r>
      <w:r>
        <w:t xml:space="preserve"> Prioritize quality containment and forecast improvement. Increase incoming inspection scrutiny, engage NextGen Pharma on defect reduction, and refine demand planning assumptions so inventory levels and replenishment triggers better reflect expected consumption.</w:t>
      </w:r>
    </w:p>
    <w:p w14:paraId="00EF147A" w14:textId="77777777" w:rsidR="004D6847" w:rsidRDefault="004D6847"/>
    <w:sectPr w:rsidR="004D6847" w:rsidSect="00001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F0186"/>
    <w:multiLevelType w:val="multilevel"/>
    <w:tmpl w:val="4E32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51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CF4"/>
    <w:rsid w:val="00001CF4"/>
    <w:rsid w:val="001C2D7D"/>
    <w:rsid w:val="004D6847"/>
    <w:rsid w:val="00597CA2"/>
    <w:rsid w:val="009140D3"/>
    <w:rsid w:val="00D26BC3"/>
    <w:rsid w:val="00F05CD0"/>
    <w:rsid w:val="00F8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4F33D"/>
  <w15:chartTrackingRefBased/>
  <w15:docId w15:val="{E2FCF83C-80CD-4B9D-9629-72D3159A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1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CF4"/>
    <w:rPr>
      <w:rFonts w:eastAsiaTheme="majorEastAsia" w:cstheme="majorBidi"/>
      <w:color w:val="272727" w:themeColor="text1" w:themeTint="D8"/>
    </w:rPr>
  </w:style>
  <w:style w:type="paragraph" w:styleId="Title">
    <w:name w:val="Title"/>
    <w:basedOn w:val="Normal"/>
    <w:next w:val="Normal"/>
    <w:link w:val="TitleChar"/>
    <w:uiPriority w:val="10"/>
    <w:qFormat/>
    <w:rsid w:val="00001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CF4"/>
    <w:pPr>
      <w:spacing w:before="160"/>
      <w:jc w:val="center"/>
    </w:pPr>
    <w:rPr>
      <w:i/>
      <w:iCs/>
      <w:color w:val="404040" w:themeColor="text1" w:themeTint="BF"/>
    </w:rPr>
  </w:style>
  <w:style w:type="character" w:customStyle="1" w:styleId="QuoteChar">
    <w:name w:val="Quote Char"/>
    <w:basedOn w:val="DefaultParagraphFont"/>
    <w:link w:val="Quote"/>
    <w:uiPriority w:val="29"/>
    <w:rsid w:val="00001CF4"/>
    <w:rPr>
      <w:i/>
      <w:iCs/>
      <w:color w:val="404040" w:themeColor="text1" w:themeTint="BF"/>
    </w:rPr>
  </w:style>
  <w:style w:type="paragraph" w:styleId="ListParagraph">
    <w:name w:val="List Paragraph"/>
    <w:basedOn w:val="Normal"/>
    <w:uiPriority w:val="34"/>
    <w:qFormat/>
    <w:rsid w:val="00001CF4"/>
    <w:pPr>
      <w:ind w:left="720"/>
      <w:contextualSpacing/>
    </w:pPr>
  </w:style>
  <w:style w:type="character" w:styleId="IntenseEmphasis">
    <w:name w:val="Intense Emphasis"/>
    <w:basedOn w:val="DefaultParagraphFont"/>
    <w:uiPriority w:val="21"/>
    <w:qFormat/>
    <w:rsid w:val="00001CF4"/>
    <w:rPr>
      <w:i/>
      <w:iCs/>
      <w:color w:val="0F4761" w:themeColor="accent1" w:themeShade="BF"/>
    </w:rPr>
  </w:style>
  <w:style w:type="paragraph" w:styleId="IntenseQuote">
    <w:name w:val="Intense Quote"/>
    <w:basedOn w:val="Normal"/>
    <w:next w:val="Normal"/>
    <w:link w:val="IntenseQuoteChar"/>
    <w:uiPriority w:val="30"/>
    <w:qFormat/>
    <w:rsid w:val="00001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CF4"/>
    <w:rPr>
      <w:i/>
      <w:iCs/>
      <w:color w:val="0F4761" w:themeColor="accent1" w:themeShade="BF"/>
    </w:rPr>
  </w:style>
  <w:style w:type="character" w:styleId="IntenseReference">
    <w:name w:val="Intense Reference"/>
    <w:basedOn w:val="DefaultParagraphFont"/>
    <w:uiPriority w:val="32"/>
    <w:qFormat/>
    <w:rsid w:val="00001C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90</TotalTime>
  <Pages>4</Pages>
  <Words>927</Words>
  <Characters>6115</Characters>
  <Application>Microsoft Office Word</Application>
  <DocSecurity>0</DocSecurity>
  <Lines>142</Lines>
  <Paragraphs>105</Paragraphs>
  <ScaleCrop>false</ScaleCrop>
  <HeadingPairs>
    <vt:vector size="2" baseType="variant">
      <vt:variant>
        <vt:lpstr>Title</vt:lpstr>
      </vt:variant>
      <vt:variant>
        <vt:i4>1</vt:i4>
      </vt:variant>
    </vt:vector>
  </HeadingPairs>
  <TitlesOfParts>
    <vt:vector size="1" baseType="lpstr">
      <vt:lpstr/>
    </vt:vector>
  </TitlesOfParts>
  <Company>JnJ</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Narayanan, Arvinth [GTSUS]</dc:creator>
  <cp:keywords/>
  <dc:description/>
  <cp:lastModifiedBy>Narayanan, Arvinth [GTSUS]</cp:lastModifiedBy>
  <cp:revision>1</cp:revision>
  <dcterms:created xsi:type="dcterms:W3CDTF">2026-06-15T00:49:00Z</dcterms:created>
  <dcterms:modified xsi:type="dcterms:W3CDTF">2026-06-15T02:25:00Z</dcterms:modified>
</cp:coreProperties>
</file>