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2AF8" w14:textId="77777777" w:rsidR="001219F7" w:rsidRDefault="001219F7">
      <w:pPr>
        <w:pStyle w:val="Title"/>
        <w:jc w:val="center"/>
      </w:pPr>
      <w:r>
        <w:rPr>
          <w:b/>
          <w:bCs/>
        </w:rPr>
        <w:t>Supply Chain Issues Review</w:t>
      </w:r>
    </w:p>
    <w:p w14:paraId="05477426" w14:textId="77777777" w:rsidR="001219F7" w:rsidRDefault="001219F7">
      <w:pPr>
        <w:pStyle w:val="Heading1"/>
        <w:rPr>
          <w:rFonts w:asciiTheme="minorHAnsi" w:hAnsiTheme="minorHAnsi" w:cstheme="minorBidi"/>
        </w:rPr>
      </w:pPr>
      <w:r>
        <w:rPr>
          <w:rFonts w:asciiTheme="minorHAnsi" w:hAnsiTheme="minorHAnsi" w:cstheme="minorBidi"/>
        </w:rPr>
        <w:t>Introduction</w:t>
      </w:r>
    </w:p>
    <w:p w14:paraId="4C61F7C3" w14:textId="77777777" w:rsidR="001219F7" w:rsidRDefault="001219F7">
      <w:r>
        <w:t>This report provides a review of critical supply chain issues identified in the source email summary. The findings indicate a high-severity situation with direct implications for product quality, production continuity, supplier reliability, and FDA compliance. The purpose of this document is to summarize the business problem, highlight the most urgent risks, and present recommended actions to contain and resolve the issues.</w:t>
      </w:r>
    </w:p>
    <w:p w14:paraId="6CF7342E" w14:textId="77777777" w:rsidR="001219F7" w:rsidRDefault="001219F7">
      <w:pPr>
        <w:pStyle w:val="Heading1"/>
        <w:rPr>
          <w:rFonts w:asciiTheme="minorHAnsi" w:hAnsiTheme="minorHAnsi" w:cstheme="minorBidi"/>
        </w:rPr>
      </w:pPr>
      <w:r>
        <w:rPr>
          <w:rFonts w:asciiTheme="minorHAnsi" w:hAnsiTheme="minorHAnsi" w:cstheme="minorBidi"/>
        </w:rPr>
        <w:t>Outline of the Business Problem</w:t>
      </w:r>
    </w:p>
    <w:p w14:paraId="4BE26D50" w14:textId="77777777" w:rsidR="001219F7" w:rsidRDefault="001219F7">
      <w:r>
        <w:t>The business problem is driven by multiple interconnected failures across quality control, traceability, and supplier compliance. First, the material identified as BIND567 is experiencing severe quality instability, including repeated quality control failures and molecular inconsistencies. These issues increase defect rates, delay production, and create a risk of inconsistent product output that may not meet regulatory standards.</w:t>
      </w:r>
    </w:p>
    <w:p w14:paraId="03CABACA" w14:textId="77777777" w:rsidR="001219F7" w:rsidRDefault="001219F7">
      <w:r>
        <w:t xml:space="preserve">Second, COMP042 presents a serious traceability breakdown, with </w:t>
      </w:r>
      <w:proofErr w:type="gramStart"/>
      <w:r>
        <w:t>incorrect lot</w:t>
      </w:r>
      <w:proofErr w:type="gramEnd"/>
      <w:r>
        <w:t xml:space="preserve"> numbers, missing documentation, and frequent delays. This creates an inability to trace the origin and handling of materials, which poses a direct FDA compliance risk and increases the likelihood of audit failure, contamination exposure, and operational bottlenecks.</w:t>
      </w:r>
    </w:p>
    <w:p w14:paraId="6B414E6D" w14:textId="77777777" w:rsidR="001219F7" w:rsidRDefault="001219F7">
      <w:r>
        <w:t xml:space="preserve">Third, COMP043 reflects supplier Good Manufacturing Practice (GMP) non-compliance, with affected batches failing purity standards and deliveries becoming erratic. This introduces the potential for </w:t>
      </w:r>
      <w:proofErr w:type="gramStart"/>
      <w:r>
        <w:t>stockouts</w:t>
      </w:r>
      <w:proofErr w:type="gramEnd"/>
      <w:r>
        <w:t>, production interruptions, and the need to onboard alternative suppliers under time pressure. Taken together, these issues create enterprise-wide risk, including financial loss, reputational damage, and the possibility of regulatory enforcement actions if not addressed immediately.</w:t>
      </w:r>
    </w:p>
    <w:p w14:paraId="711EF7D8" w14:textId="77777777" w:rsidR="001219F7" w:rsidRDefault="001219F7">
      <w:pPr>
        <w:pStyle w:val="Heading1"/>
        <w:rPr>
          <w:rFonts w:asciiTheme="minorHAnsi" w:hAnsiTheme="minorHAnsi" w:cstheme="minorBidi"/>
        </w:rPr>
      </w:pPr>
      <w:r>
        <w:rPr>
          <w:rFonts w:asciiTheme="minorHAnsi" w:hAnsiTheme="minorHAnsi" w:cstheme="minorBidi"/>
        </w:rPr>
        <w:t>Action Items</w:t>
      </w:r>
    </w:p>
    <w:p w14:paraId="0636F271" w14:textId="77777777" w:rsidR="001219F7" w:rsidRDefault="001219F7" w:rsidP="001219F7">
      <w:pPr>
        <w:pStyle w:val="ListParagraph"/>
        <w:numPr>
          <w:ilvl w:val="0"/>
          <w:numId w:val="1"/>
        </w:numPr>
      </w:pPr>
      <w:r>
        <w:t>Establish an immediate cross-functional response team including Procurement, Quality Assurance, Regulatory, and Supply Chain leadership to coordinate triage, decision-making, and accountability.</w:t>
      </w:r>
    </w:p>
    <w:p w14:paraId="04FF7CDF" w14:textId="77777777" w:rsidR="001219F7" w:rsidRDefault="001219F7" w:rsidP="001219F7">
      <w:pPr>
        <w:pStyle w:val="ListParagraph"/>
        <w:numPr>
          <w:ilvl w:val="0"/>
          <w:numId w:val="1"/>
        </w:numPr>
      </w:pPr>
      <w:r>
        <w:t>Quarantine all affected batches associated with BIND567 and COMP043, conduct retesting, and perform deviation analysis before any further use or release.</w:t>
      </w:r>
    </w:p>
    <w:p w14:paraId="586623BE" w14:textId="77777777" w:rsidR="001219F7" w:rsidRDefault="001219F7" w:rsidP="001219F7">
      <w:pPr>
        <w:pStyle w:val="ListParagraph"/>
        <w:numPr>
          <w:ilvl w:val="0"/>
          <w:numId w:val="1"/>
        </w:numPr>
      </w:pPr>
      <w:r>
        <w:lastRenderedPageBreak/>
        <w:t xml:space="preserve">Restore end-to-end traceability for COMP042 by validating lot tracking, auditing supplier documentation, and rejecting shipments that lack complete </w:t>
      </w:r>
      <w:proofErr w:type="gramStart"/>
      <w:r>
        <w:t>chain-of-custody</w:t>
      </w:r>
      <w:proofErr w:type="gramEnd"/>
      <w:r>
        <w:t xml:space="preserve"> records.</w:t>
      </w:r>
    </w:p>
    <w:p w14:paraId="61761AB8" w14:textId="77777777" w:rsidR="001219F7" w:rsidRDefault="001219F7" w:rsidP="001219F7">
      <w:pPr>
        <w:pStyle w:val="ListParagraph"/>
        <w:numPr>
          <w:ilvl w:val="0"/>
          <w:numId w:val="1"/>
        </w:numPr>
      </w:pPr>
      <w:r>
        <w:t>Launch a supplier risk mitigation plan by auditing GMP compliance for the impacted supplier, identifying alternate qualified suppliers, and strengthening service level agreements and quality control gates.</w:t>
      </w:r>
    </w:p>
    <w:p w14:paraId="0AEBF7DD" w14:textId="77777777" w:rsidR="001219F7" w:rsidRDefault="001219F7" w:rsidP="001219F7">
      <w:pPr>
        <w:pStyle w:val="ListParagraph"/>
        <w:numPr>
          <w:ilvl w:val="0"/>
          <w:numId w:val="1"/>
        </w:numPr>
      </w:pPr>
      <w:r>
        <w:t>Implement short-term production safeguards, including increased quality sampling, enhanced incoming material inspections, and temporary buffer stock where feasible to reduce downtime and defect propagation.</w:t>
      </w:r>
    </w:p>
    <w:p w14:paraId="02B7709D" w14:textId="77777777" w:rsidR="001219F7" w:rsidRDefault="001219F7">
      <w:pPr>
        <w:pStyle w:val="Heading1"/>
        <w:rPr>
          <w:rFonts w:asciiTheme="minorHAnsi" w:hAnsiTheme="minorHAnsi" w:cstheme="minorBidi"/>
        </w:rPr>
      </w:pPr>
      <w:r>
        <w:rPr>
          <w:rFonts w:asciiTheme="minorHAnsi" w:hAnsiTheme="minorHAnsi" w:cstheme="minorBidi"/>
        </w:rPr>
        <w:t>Conclusion</w:t>
      </w:r>
    </w:p>
    <w:p w14:paraId="7ECFFC5E" w14:textId="77777777" w:rsidR="001219F7" w:rsidRDefault="001219F7">
      <w:r>
        <w:t>The supply chain issues summarized in this review represent a compliance-critical business risk that requires immediate containment and sustained corrective action. The combination of quality instability, weak traceability, and supplier non-compliance threatens production continuity and increases regulatory exposure. By acting quickly on the recommended action items, the organization can reduce the risk of product quality failures, improve audit readiness, and stabilize operations while longer-term process improvements are developed.</w:t>
      </w:r>
    </w:p>
    <w:p w14:paraId="44565BF2" w14:textId="77777777" w:rsidR="004D6847" w:rsidRDefault="004D6847"/>
    <w:sectPr w:rsidR="004D6847" w:rsidSect="00121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16795"/>
    <w:multiLevelType w:val="multilevel"/>
    <w:tmpl w:val="363A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2398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9F7"/>
    <w:rsid w:val="001219F7"/>
    <w:rsid w:val="001C2D7D"/>
    <w:rsid w:val="004D6847"/>
    <w:rsid w:val="00597CA2"/>
    <w:rsid w:val="008C284D"/>
    <w:rsid w:val="009140D3"/>
    <w:rsid w:val="00F05CD0"/>
    <w:rsid w:val="00F8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3BB8"/>
  <w15:chartTrackingRefBased/>
  <w15:docId w15:val="{643E05C9-A736-4B61-AF1F-75CC5D26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9F7"/>
    <w:rPr>
      <w:rFonts w:eastAsiaTheme="majorEastAsia" w:cstheme="majorBidi"/>
      <w:color w:val="272727" w:themeColor="text1" w:themeTint="D8"/>
    </w:rPr>
  </w:style>
  <w:style w:type="paragraph" w:styleId="Title">
    <w:name w:val="Title"/>
    <w:basedOn w:val="Normal"/>
    <w:next w:val="Normal"/>
    <w:link w:val="TitleChar"/>
    <w:uiPriority w:val="10"/>
    <w:qFormat/>
    <w:rsid w:val="0012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9F7"/>
    <w:pPr>
      <w:spacing w:before="160"/>
      <w:jc w:val="center"/>
    </w:pPr>
    <w:rPr>
      <w:i/>
      <w:iCs/>
      <w:color w:val="404040" w:themeColor="text1" w:themeTint="BF"/>
    </w:rPr>
  </w:style>
  <w:style w:type="character" w:customStyle="1" w:styleId="QuoteChar">
    <w:name w:val="Quote Char"/>
    <w:basedOn w:val="DefaultParagraphFont"/>
    <w:link w:val="Quote"/>
    <w:uiPriority w:val="29"/>
    <w:rsid w:val="001219F7"/>
    <w:rPr>
      <w:i/>
      <w:iCs/>
      <w:color w:val="404040" w:themeColor="text1" w:themeTint="BF"/>
    </w:rPr>
  </w:style>
  <w:style w:type="paragraph" w:styleId="ListParagraph">
    <w:name w:val="List Paragraph"/>
    <w:basedOn w:val="Normal"/>
    <w:uiPriority w:val="34"/>
    <w:qFormat/>
    <w:rsid w:val="001219F7"/>
    <w:pPr>
      <w:ind w:left="720"/>
      <w:contextualSpacing/>
    </w:pPr>
  </w:style>
  <w:style w:type="character" w:styleId="IntenseEmphasis">
    <w:name w:val="Intense Emphasis"/>
    <w:basedOn w:val="DefaultParagraphFont"/>
    <w:uiPriority w:val="21"/>
    <w:qFormat/>
    <w:rsid w:val="001219F7"/>
    <w:rPr>
      <w:i/>
      <w:iCs/>
      <w:color w:val="0F4761" w:themeColor="accent1" w:themeShade="BF"/>
    </w:rPr>
  </w:style>
  <w:style w:type="paragraph" w:styleId="IntenseQuote">
    <w:name w:val="Intense Quote"/>
    <w:basedOn w:val="Normal"/>
    <w:next w:val="Normal"/>
    <w:link w:val="IntenseQuoteChar"/>
    <w:uiPriority w:val="30"/>
    <w:qFormat/>
    <w:rsid w:val="00121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9F7"/>
    <w:rPr>
      <w:i/>
      <w:iCs/>
      <w:color w:val="0F4761" w:themeColor="accent1" w:themeShade="BF"/>
    </w:rPr>
  </w:style>
  <w:style w:type="character" w:styleId="IntenseReference">
    <w:name w:val="Intense Reference"/>
    <w:basedOn w:val="DefaultParagraphFont"/>
    <w:uiPriority w:val="32"/>
    <w:qFormat/>
    <w:rsid w:val="00121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423</Words>
  <Characters>2847</Characters>
  <Application>Microsoft Office Word</Application>
  <DocSecurity>0</DocSecurity>
  <Lines>48</Lines>
  <Paragraphs>19</Paragraphs>
  <ScaleCrop>false</ScaleCrop>
  <Company>JnJ</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Narayanan, Arvinth [GTSUS]</dc:creator>
  <cp:keywords/>
  <dc:description/>
  <cp:lastModifiedBy>Narayanan, Arvinth [GTSUS]</cp:lastModifiedBy>
  <cp:revision>1</cp:revision>
  <dcterms:created xsi:type="dcterms:W3CDTF">2026-06-15T13:15:00Z</dcterms:created>
  <dcterms:modified xsi:type="dcterms:W3CDTF">2026-06-15T13:22:00Z</dcterms:modified>
</cp:coreProperties>
</file>