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3E959" w14:textId="77777777" w:rsidR="004E45DD" w:rsidRDefault="004E45DD">
      <w:pPr>
        <w:pStyle w:val="Title"/>
      </w:pPr>
      <w:r>
        <w:rPr>
          <w:b/>
          <w:bCs/>
        </w:rPr>
        <w:t>Supply Chain Issue Analysis Report</w:t>
      </w:r>
    </w:p>
    <w:p w14:paraId="0D9DC49D" w14:textId="77777777" w:rsidR="004E45DD" w:rsidRDefault="004E45DD">
      <w:pPr>
        <w:pStyle w:val="Heading1"/>
        <w:rPr>
          <w:rFonts w:asciiTheme="minorHAnsi" w:hAnsiTheme="minorHAnsi" w:cstheme="minorBidi"/>
        </w:rPr>
      </w:pPr>
      <w:r>
        <w:rPr>
          <w:rFonts w:asciiTheme="minorHAnsi" w:hAnsiTheme="minorHAnsi" w:cstheme="minorBidi"/>
        </w:rPr>
        <w:t>Executive Summary</w:t>
      </w:r>
    </w:p>
    <w:p w14:paraId="7B8650F6" w14:textId="77777777" w:rsidR="004E45DD" w:rsidRDefault="004E45DD">
      <w:r>
        <w:t xml:space="preserve">This report synthesizes the supply chain findings from </w:t>
      </w:r>
      <w:r>
        <w:rPr>
          <w:b/>
          <w:bCs/>
        </w:rPr>
        <w:t>Supply Chain Report.xlsx</w:t>
      </w:r>
      <w:r>
        <w:t>, drawing on the dataset and supporting analysis to evaluate component-level delays, supplier performance, and operational risk. The analysis indicates that medium-risk components are experiencing the longest average delivery timelines at 15.1 days, suggesting that these items may not be receiving the same escalation priority as high-risk components despite having meaningful production exposure. Among the delayed components reviewed, BIND567, CARB123, and COAT890 show uneven performance, with COAT890 presenting the weakest on-time delivery pattern and BIND567 showing the strongest on-time delivery rate within the delayed subset.</w:t>
      </w:r>
    </w:p>
    <w:p w14:paraId="6BA169CB" w14:textId="77777777" w:rsidR="004E45DD" w:rsidRDefault="004E45DD">
      <w:r>
        <w:t xml:space="preserve">At the supplier level, NextGen Pharma demonstrates the strongest overall operating profile, combining the shortest average delivery timeline with the highest on-time delivery rate. By contrast, </w:t>
      </w:r>
      <w:proofErr w:type="spellStart"/>
      <w:r>
        <w:t>EcoSupply</w:t>
      </w:r>
      <w:proofErr w:type="spellEnd"/>
      <w:r>
        <w:t xml:space="preserve"> and </w:t>
      </w:r>
      <w:proofErr w:type="spellStart"/>
      <w:r>
        <w:t>PrimeLogistics</w:t>
      </w:r>
      <w:proofErr w:type="spellEnd"/>
      <w:r>
        <w:t xml:space="preserve"> require closer attention for different reasons: </w:t>
      </w:r>
      <w:proofErr w:type="spellStart"/>
      <w:r>
        <w:t>EcoSupply</w:t>
      </w:r>
      <w:proofErr w:type="spellEnd"/>
      <w:r>
        <w:t xml:space="preserve"> shows the lowest on-time delivery performance despite strong average reliability, while </w:t>
      </w:r>
      <w:proofErr w:type="spellStart"/>
      <w:r>
        <w:t>PrimeLogistics</w:t>
      </w:r>
      <w:proofErr w:type="spellEnd"/>
      <w:r>
        <w:t xml:space="preserve"> records the highest defect rate. These findings matter not only for operational continuity but also for compliance-sensitive environments, where supply consistency, quality performance, and traceable mitigation actions are necessary to maintain production readiness and regulatory confidence.</w:t>
      </w:r>
    </w:p>
    <w:p w14:paraId="7313474F" w14:textId="77777777" w:rsidR="004E45DD" w:rsidRDefault="004E45DD">
      <w:pPr>
        <w:pStyle w:val="Heading1"/>
        <w:rPr>
          <w:rFonts w:asciiTheme="minorHAnsi" w:hAnsiTheme="minorHAnsi" w:cstheme="minorBidi"/>
        </w:rPr>
      </w:pPr>
      <w:r>
        <w:rPr>
          <w:rFonts w:asciiTheme="minorHAnsi" w:hAnsiTheme="minorHAnsi" w:cstheme="minorBidi"/>
        </w:rPr>
        <w:t>Component Overview</w:t>
      </w:r>
    </w:p>
    <w:p w14:paraId="6A1ECCFA" w14:textId="77777777" w:rsidR="004E45DD" w:rsidRDefault="004E45DD">
      <w:r>
        <w:t xml:space="preserve">The analysis highlights several components with elevated supply chain concern, particularly BIND567, CARB123, COAT890, COMP042, and COMP043. BIND567, sourced through </w:t>
      </w:r>
      <w:proofErr w:type="spellStart"/>
      <w:r>
        <w:t>EcoSupply</w:t>
      </w:r>
      <w:proofErr w:type="spellEnd"/>
      <w:r>
        <w:t>, is associated with a confirmed delay near critical production deadlines and reflects a broader concern about recurring delay patterns. CARB123 shows variable performance across risk categories, indicating inconsistent delivery behavior depending on sourcing and planning conditions. COAT890 appears to be the weakest of the named delayed components from an on-time delivery perspective, suggesting a higher probability of planning disruption if receipt timing slips further.</w:t>
      </w:r>
    </w:p>
    <w:p w14:paraId="4C1A8AE6" w14:textId="77777777" w:rsidR="004E45DD" w:rsidRDefault="004E45DD">
      <w:r>
        <w:t xml:space="preserve">The supporting analysis also identifies COMP042 and COMP043 as components with meaningful operational concern. COMP042, tied to </w:t>
      </w:r>
      <w:proofErr w:type="spellStart"/>
      <w:r>
        <w:t>PrimeLogistics</w:t>
      </w:r>
      <w:proofErr w:type="spellEnd"/>
      <w:r>
        <w:t xml:space="preserve">, shows lead time variance and elevated planning uncertainty, while COMP043, associated with NextGen Pharma, points to challenges in forecasting accuracy and inventory alignment. When </w:t>
      </w:r>
      <w:r>
        <w:lastRenderedPageBreak/>
        <w:t>viewed alongside the supplier summary, the broader picture suggests that different suppliers are contributing different forms of risk: delivery inconsistency, defect exposure, lead time variability, and forecasting mismatch. This makes a single mitigation approach insufficient and supports the need for both cross-cutting and component-specific interventions.</w:t>
      </w:r>
    </w:p>
    <w:p w14:paraId="58571509" w14:textId="77777777" w:rsidR="004E45DD" w:rsidRDefault="004E45DD">
      <w:pPr>
        <w:pStyle w:val="Heading1"/>
        <w:rPr>
          <w:rFonts w:asciiTheme="minorHAnsi" w:hAnsiTheme="minorHAnsi" w:cstheme="minorBidi"/>
        </w:rPr>
      </w:pPr>
      <w:r>
        <w:rPr>
          <w:rFonts w:asciiTheme="minorHAnsi" w:hAnsiTheme="minorHAnsi" w:cstheme="minorBidi"/>
        </w:rPr>
        <w:t>Implications for Compliance</w:t>
      </w:r>
    </w:p>
    <w:p w14:paraId="6A07BBEF" w14:textId="77777777" w:rsidR="004E45DD" w:rsidRDefault="004E45DD">
      <w:r>
        <w:t>In compliance-sensitive manufacturing environments, supply chain delays are not only operational issues; they can also create control and regulatory risk. Delays in critical or medium-risk components may disrupt production schedules, increase dependence on expedited logistics, and reduce the margin for quality review and release activities. The analysis notes that for BIND567 and COMP043, the delay patterns could affect the ability to sustain consistent supply for regulated products, which is particularly important in environments influenced by FDA expectations around supply reliability, traceability, and product availability.</w:t>
      </w:r>
    </w:p>
    <w:p w14:paraId="753B4324" w14:textId="77777777" w:rsidR="004E45DD" w:rsidRDefault="004E45DD">
      <w:r>
        <w:t xml:space="preserve">Compliance exposure is amplified when delays coincide with elevated defect rates, variable lead times, or weak forecasting controls. For example, </w:t>
      </w:r>
      <w:proofErr w:type="spellStart"/>
      <w:r>
        <w:t>PrimeLogistics</w:t>
      </w:r>
      <w:proofErr w:type="spellEnd"/>
      <w:r>
        <w:t xml:space="preserve">’ higher defect rate and </w:t>
      </w:r>
      <w:proofErr w:type="spellStart"/>
      <w:r>
        <w:t>EcoSupply’s</w:t>
      </w:r>
      <w:proofErr w:type="spellEnd"/>
      <w:r>
        <w:t xml:space="preserve"> lower on-time performance suggest that supplier oversight may need to be strengthened through documented corrective actions, performance reviews, and inventory safeguards. From a governance standpoint, organizations should ensure that delay management decisions, supplier remediation steps, and inventory exceptions are clearly documented so that they can be defended during internal review, quality audits, or regulatory inspection.</w:t>
      </w:r>
    </w:p>
    <w:p w14:paraId="35031E51" w14:textId="77777777" w:rsidR="004E45DD" w:rsidRDefault="004E45DD">
      <w:pPr>
        <w:pStyle w:val="Heading1"/>
        <w:rPr>
          <w:rFonts w:asciiTheme="minorHAnsi" w:hAnsiTheme="minorHAnsi" w:cstheme="minorBidi"/>
        </w:rPr>
      </w:pPr>
      <w:r>
        <w:rPr>
          <w:rFonts w:asciiTheme="minorHAnsi" w:hAnsiTheme="minorHAnsi" w:cstheme="minorBidi"/>
        </w:rPr>
        <w:t>Root Cause Analysis</w:t>
      </w:r>
    </w:p>
    <w:p w14:paraId="43D66102" w14:textId="77777777" w:rsidR="004E45DD" w:rsidRDefault="004E45DD">
      <w:r>
        <w:t xml:space="preserve">The available evidence points to several underlying causes contributing to the supply chain issues. First, supplier execution appears uneven across the portfolio. </w:t>
      </w:r>
      <w:proofErr w:type="spellStart"/>
      <w:r>
        <w:t>EcoSupply</w:t>
      </w:r>
      <w:proofErr w:type="spellEnd"/>
      <w:r>
        <w:t xml:space="preserve"> shows strong average reliability but weaker on-time performance, implying that broad reliability indicators may mask delivery-specific execution issues. </w:t>
      </w:r>
      <w:proofErr w:type="spellStart"/>
      <w:r>
        <w:t>PrimeLogistics</w:t>
      </w:r>
      <w:proofErr w:type="spellEnd"/>
      <w:r>
        <w:t xml:space="preserve"> presents a different profile, where elevated defect rates and lead time variability suggest process instability or weak coordination between planning and fulfillment. </w:t>
      </w:r>
      <w:proofErr w:type="spellStart"/>
      <w:r>
        <w:t>GlobalChem’s</w:t>
      </w:r>
      <w:proofErr w:type="spellEnd"/>
      <w:r>
        <w:t xml:space="preserve"> longer average delivery timeline indicates structural slowness, which can become problematic when demand changes or inventory buffers are low.</w:t>
      </w:r>
    </w:p>
    <w:p w14:paraId="428BBBB4" w14:textId="77777777" w:rsidR="004E45DD" w:rsidRDefault="004E45DD">
      <w:r>
        <w:t xml:space="preserve">Second, internal planning and prioritization gaps may be contributing to the issue. The fact that medium-risk items show the longest average delivery timelines suggests a possible </w:t>
      </w:r>
      <w:r>
        <w:lastRenderedPageBreak/>
        <w:t>escalation gap in procurement or supply planning workflows. The component narratives for COMP042 and COMP043 also point to forecasting inaccuracy, inventory mismanagement, and insufficient contingency planning. Taken together, the likely root causes include inconsistent supplier performance monitoring, inadequate demand planning, insufficient safety stock for select components, and delayed activation of mitigation actions such as expedited shipping or alternate sourcing.</w:t>
      </w:r>
    </w:p>
    <w:p w14:paraId="46E1B16E" w14:textId="77777777" w:rsidR="004E45DD" w:rsidRDefault="004E45DD">
      <w:pPr>
        <w:pStyle w:val="Heading1"/>
        <w:rPr>
          <w:rFonts w:asciiTheme="minorHAnsi" w:hAnsiTheme="minorHAnsi" w:cstheme="minorBidi"/>
        </w:rPr>
      </w:pPr>
      <w:r>
        <w:rPr>
          <w:rFonts w:asciiTheme="minorHAnsi" w:hAnsiTheme="minorHAnsi" w:cstheme="minorBidi"/>
        </w:rPr>
        <w:t>Mitigation Strategies (General and Component-Specific)</w:t>
      </w:r>
    </w:p>
    <w:p w14:paraId="5C6230B4" w14:textId="77777777" w:rsidR="004E45DD" w:rsidRDefault="004E45DD">
      <w:r>
        <w:rPr>
          <w:b/>
          <w:bCs/>
        </w:rPr>
        <w:t>General mitigation strategies.</w:t>
      </w:r>
      <w:r>
        <w:t xml:space="preserve"> Several actions should be applied across the portfolio. First, supplier scorecards should be expanded to emphasize not only reliability but also on-time performance, lead time variance, and defect trends so that hidden delivery risk is surfaced earlier. Second, supply planning teams should reassess how medium-risk components are prioritized, especially where those parts support time-sensitive or compliance-relevant production activities. Third, safety stock thresholds and reorder points should be reviewed for components with demonstrated delay history, while escalation triggers should be set for expedited shipping, supplier review, or alternate-source qualification when performance metrics fall below target.</w:t>
      </w:r>
    </w:p>
    <w:p w14:paraId="2A979650" w14:textId="77777777" w:rsidR="004E45DD" w:rsidRDefault="004E45DD">
      <w:r>
        <w:rPr>
          <w:b/>
          <w:bCs/>
        </w:rPr>
        <w:t>Component-specific mitigation strategies.</w:t>
      </w:r>
      <w:r>
        <w:t xml:space="preserve"> For BIND567, the priority should be to negotiate expedited shipping terms with </w:t>
      </w:r>
      <w:proofErr w:type="spellStart"/>
      <w:r>
        <w:t>EcoSupply</w:t>
      </w:r>
      <w:proofErr w:type="spellEnd"/>
      <w:r>
        <w:t xml:space="preserve"> and increase inventory buffer levels to reduce exposure to near-term receipt delays. For CARB123, the organization should review the sourcing and planning assumptions behind its variable performance and determine whether a more stable procurement approach is needed for higher-risk scenarios. For COAT890, where on-time delivery is weakest among the delayed components, stronger supplier follow-up and alternate sourcing assessment should be considered. For COMP042, the most appropriate response is to work with </w:t>
      </w:r>
      <w:proofErr w:type="spellStart"/>
      <w:r>
        <w:t>PrimeLogistics</w:t>
      </w:r>
      <w:proofErr w:type="spellEnd"/>
      <w:r>
        <w:t xml:space="preserve"> on demand planning discipline and adjust order cycles to account for lead time variance. For COMP043, the focus should be on improving forecasting accuracy with NextGen Pharma and implementing dynamic inventory replenishment to reduce disruption from planning mismatch. Across all cases, mitigation steps should be documented and tracked through formal supplier governance or quality review processes.</w:t>
      </w:r>
    </w:p>
    <w:p w14:paraId="73DF8CDE" w14:textId="77777777" w:rsidR="004E45DD" w:rsidRPr="004E45DD" w:rsidRDefault="004E45DD" w:rsidP="004E45DD">
      <w:pPr>
        <w:numPr>
          <w:ilvl w:val="0"/>
          <w:numId w:val="1"/>
        </w:numPr>
      </w:pPr>
      <w:r w:rsidRPr="004E45DD">
        <w:rPr>
          <w:b/>
          <w:bCs/>
        </w:rPr>
        <w:t>Average delivery timeline by risk level</w:t>
      </w:r>
    </w:p>
    <w:p w14:paraId="622C049A" w14:textId="77777777" w:rsidR="004E45DD" w:rsidRPr="004E45DD" w:rsidRDefault="004E45DD" w:rsidP="004E45DD">
      <w:pPr>
        <w:numPr>
          <w:ilvl w:val="1"/>
          <w:numId w:val="1"/>
        </w:numPr>
      </w:pPr>
      <w:r w:rsidRPr="004E45DD">
        <w:rPr>
          <w:b/>
          <w:bCs/>
        </w:rPr>
        <w:t>Medium:</w:t>
      </w:r>
      <w:r w:rsidRPr="004E45DD">
        <w:t> </w:t>
      </w:r>
      <w:r w:rsidRPr="004E45DD">
        <w:rPr>
          <w:b/>
          <w:bCs/>
        </w:rPr>
        <w:t>15.1 days</w:t>
      </w:r>
    </w:p>
    <w:p w14:paraId="4DB96DC6" w14:textId="77777777" w:rsidR="004E45DD" w:rsidRPr="004E45DD" w:rsidRDefault="004E45DD" w:rsidP="004E45DD">
      <w:pPr>
        <w:numPr>
          <w:ilvl w:val="1"/>
          <w:numId w:val="1"/>
        </w:numPr>
      </w:pPr>
      <w:r w:rsidRPr="004E45DD">
        <w:rPr>
          <w:b/>
          <w:bCs/>
        </w:rPr>
        <w:t>Low:</w:t>
      </w:r>
      <w:r w:rsidRPr="004E45DD">
        <w:t> </w:t>
      </w:r>
      <w:r w:rsidRPr="004E45DD">
        <w:rPr>
          <w:b/>
          <w:bCs/>
        </w:rPr>
        <w:t>12.9 days</w:t>
      </w:r>
    </w:p>
    <w:p w14:paraId="5DB518FF" w14:textId="77777777" w:rsidR="004E45DD" w:rsidRPr="004E45DD" w:rsidRDefault="004E45DD" w:rsidP="004E45DD">
      <w:pPr>
        <w:numPr>
          <w:ilvl w:val="1"/>
          <w:numId w:val="1"/>
        </w:numPr>
      </w:pPr>
      <w:r w:rsidRPr="004E45DD">
        <w:rPr>
          <w:b/>
          <w:bCs/>
        </w:rPr>
        <w:lastRenderedPageBreak/>
        <w:t>High:</w:t>
      </w:r>
      <w:r w:rsidRPr="004E45DD">
        <w:t> </w:t>
      </w:r>
      <w:r w:rsidRPr="004E45DD">
        <w:rPr>
          <w:b/>
          <w:bCs/>
        </w:rPr>
        <w:t>11.3 days</w:t>
      </w:r>
    </w:p>
    <w:p w14:paraId="078CE733" w14:textId="77777777" w:rsidR="004E45DD" w:rsidRPr="004E45DD" w:rsidRDefault="004E45DD" w:rsidP="004E45DD">
      <w:pPr>
        <w:numPr>
          <w:ilvl w:val="0"/>
          <w:numId w:val="1"/>
        </w:numPr>
      </w:pPr>
      <w:r w:rsidRPr="004E45DD">
        <w:rPr>
          <w:b/>
          <w:bCs/>
        </w:rPr>
        <w:t>On-time delivery rate for delayed components</w:t>
      </w:r>
    </w:p>
    <w:p w14:paraId="438E4CF8" w14:textId="77777777" w:rsidR="004E45DD" w:rsidRPr="004E45DD" w:rsidRDefault="004E45DD" w:rsidP="004E45DD">
      <w:pPr>
        <w:numPr>
          <w:ilvl w:val="1"/>
          <w:numId w:val="1"/>
        </w:numPr>
      </w:pPr>
      <w:r w:rsidRPr="004E45DD">
        <w:rPr>
          <w:b/>
          <w:bCs/>
        </w:rPr>
        <w:t>BIND567:</w:t>
      </w:r>
      <w:r w:rsidRPr="004E45DD">
        <w:t> </w:t>
      </w:r>
      <w:r w:rsidRPr="004E45DD">
        <w:rPr>
          <w:b/>
          <w:bCs/>
        </w:rPr>
        <w:t>99.0%</w:t>
      </w:r>
    </w:p>
    <w:p w14:paraId="452B9DD6" w14:textId="77777777" w:rsidR="004E45DD" w:rsidRPr="004E45DD" w:rsidRDefault="004E45DD" w:rsidP="004E45DD">
      <w:pPr>
        <w:numPr>
          <w:ilvl w:val="1"/>
          <w:numId w:val="1"/>
        </w:numPr>
      </w:pPr>
      <w:r w:rsidRPr="004E45DD">
        <w:rPr>
          <w:b/>
          <w:bCs/>
        </w:rPr>
        <w:t>CARB123:</w:t>
      </w:r>
      <w:r w:rsidRPr="004E45DD">
        <w:t> </w:t>
      </w:r>
      <w:r w:rsidRPr="004E45DD">
        <w:rPr>
          <w:b/>
          <w:bCs/>
        </w:rPr>
        <w:t>90.3%</w:t>
      </w:r>
    </w:p>
    <w:p w14:paraId="3552E91E" w14:textId="77777777" w:rsidR="004E45DD" w:rsidRPr="004E45DD" w:rsidRDefault="004E45DD" w:rsidP="004E45DD">
      <w:pPr>
        <w:numPr>
          <w:ilvl w:val="1"/>
          <w:numId w:val="1"/>
        </w:numPr>
      </w:pPr>
      <w:r w:rsidRPr="004E45DD">
        <w:rPr>
          <w:b/>
          <w:bCs/>
        </w:rPr>
        <w:t>COAT890:</w:t>
      </w:r>
      <w:r w:rsidRPr="004E45DD">
        <w:t> </w:t>
      </w:r>
      <w:r w:rsidRPr="004E45DD">
        <w:rPr>
          <w:b/>
          <w:bCs/>
        </w:rPr>
        <w:t>84.2%</w:t>
      </w:r>
    </w:p>
    <w:p w14:paraId="48C5FD96" w14:textId="77777777" w:rsidR="004E45DD" w:rsidRPr="004E45DD" w:rsidRDefault="004E45DD" w:rsidP="004E45DD">
      <w:pPr>
        <w:numPr>
          <w:ilvl w:val="1"/>
          <w:numId w:val="1"/>
        </w:numPr>
      </w:pPr>
      <w:r w:rsidRPr="004E45DD">
        <w:rPr>
          <w:b/>
          <w:bCs/>
        </w:rPr>
        <w:t>Combined average across these 3 components:</w:t>
      </w:r>
      <w:r w:rsidRPr="004E45DD">
        <w:t> </w:t>
      </w:r>
      <w:r w:rsidRPr="004E45DD">
        <w:rPr>
          <w:b/>
          <w:bCs/>
        </w:rPr>
        <w:t>88.1%</w:t>
      </w:r>
    </w:p>
    <w:p w14:paraId="6E9E4D97" w14:textId="77777777" w:rsidR="004E45DD" w:rsidRPr="004E45DD" w:rsidRDefault="004E45DD" w:rsidP="004E45DD">
      <w:pPr>
        <w:numPr>
          <w:ilvl w:val="0"/>
          <w:numId w:val="1"/>
        </w:numPr>
      </w:pPr>
      <w:r w:rsidRPr="004E45DD">
        <w:rPr>
          <w:b/>
          <w:bCs/>
        </w:rPr>
        <w:t>Supplier performance breakdown</w:t>
      </w:r>
    </w:p>
    <w:p w14:paraId="4A137B7D" w14:textId="77777777" w:rsidR="004E45DD" w:rsidRPr="004E45DD" w:rsidRDefault="004E45DD" w:rsidP="004E45DD">
      <w:pPr>
        <w:numPr>
          <w:ilvl w:val="1"/>
          <w:numId w:val="1"/>
        </w:numPr>
      </w:pPr>
      <w:r w:rsidRPr="004E45DD">
        <w:rPr>
          <w:b/>
          <w:bCs/>
        </w:rPr>
        <w:t>Best on-time performance:</w:t>
      </w:r>
      <w:r w:rsidRPr="004E45DD">
        <w:t> </w:t>
      </w:r>
      <w:r w:rsidRPr="004E45DD">
        <w:rPr>
          <w:b/>
          <w:bCs/>
        </w:rPr>
        <w:t>NextGen Pharma (91.5%)</w:t>
      </w:r>
    </w:p>
    <w:p w14:paraId="687537F5" w14:textId="77777777" w:rsidR="004E45DD" w:rsidRPr="004E45DD" w:rsidRDefault="004E45DD" w:rsidP="004E45DD">
      <w:pPr>
        <w:numPr>
          <w:ilvl w:val="1"/>
          <w:numId w:val="1"/>
        </w:numPr>
      </w:pPr>
      <w:r w:rsidRPr="004E45DD">
        <w:rPr>
          <w:b/>
          <w:bCs/>
        </w:rPr>
        <w:t>Lowest on-time performance:</w:t>
      </w:r>
      <w:r w:rsidRPr="004E45DD">
        <w:t> </w:t>
      </w:r>
      <w:proofErr w:type="spellStart"/>
      <w:r w:rsidRPr="004E45DD">
        <w:rPr>
          <w:b/>
          <w:bCs/>
        </w:rPr>
        <w:t>EcoSupply</w:t>
      </w:r>
      <w:proofErr w:type="spellEnd"/>
      <w:r w:rsidRPr="004E45DD">
        <w:rPr>
          <w:b/>
          <w:bCs/>
        </w:rPr>
        <w:t xml:space="preserve"> (87.9%)</w:t>
      </w:r>
    </w:p>
    <w:p w14:paraId="73F0B221" w14:textId="77777777" w:rsidR="004E45DD" w:rsidRPr="004E45DD" w:rsidRDefault="004E45DD" w:rsidP="004E45DD">
      <w:pPr>
        <w:numPr>
          <w:ilvl w:val="1"/>
          <w:numId w:val="1"/>
        </w:numPr>
      </w:pPr>
      <w:r w:rsidRPr="004E45DD">
        <w:rPr>
          <w:b/>
          <w:bCs/>
        </w:rPr>
        <w:t>Shortest average delivery timeline:</w:t>
      </w:r>
      <w:r w:rsidRPr="004E45DD">
        <w:t> </w:t>
      </w:r>
      <w:r w:rsidRPr="004E45DD">
        <w:rPr>
          <w:b/>
          <w:bCs/>
        </w:rPr>
        <w:t>NextGen Pharma (10.7 days)</w:t>
      </w:r>
    </w:p>
    <w:p w14:paraId="73EE8D0D" w14:textId="77777777" w:rsidR="004E45DD" w:rsidRPr="004E45DD" w:rsidRDefault="004E45DD" w:rsidP="004E45DD">
      <w:pPr>
        <w:numPr>
          <w:ilvl w:val="1"/>
          <w:numId w:val="1"/>
        </w:numPr>
      </w:pPr>
      <w:r w:rsidRPr="004E45DD">
        <w:rPr>
          <w:b/>
          <w:bCs/>
        </w:rPr>
        <w:t>Longest average delivery timeline:</w:t>
      </w:r>
      <w:r w:rsidRPr="004E45DD">
        <w:t> </w:t>
      </w:r>
      <w:proofErr w:type="spellStart"/>
      <w:r w:rsidRPr="004E45DD">
        <w:rPr>
          <w:b/>
          <w:bCs/>
        </w:rPr>
        <w:t>GlobalChem</w:t>
      </w:r>
      <w:proofErr w:type="spellEnd"/>
      <w:r w:rsidRPr="004E45DD">
        <w:rPr>
          <w:b/>
          <w:bCs/>
        </w:rPr>
        <w:t xml:space="preserve"> (16.4 days)</w:t>
      </w:r>
    </w:p>
    <w:p w14:paraId="21A62FAC" w14:textId="77777777" w:rsidR="004E45DD" w:rsidRPr="004E45DD" w:rsidRDefault="004E45DD" w:rsidP="004E45DD">
      <w:pPr>
        <w:numPr>
          <w:ilvl w:val="1"/>
          <w:numId w:val="1"/>
        </w:numPr>
      </w:pPr>
      <w:r w:rsidRPr="004E45DD">
        <w:rPr>
          <w:b/>
          <w:bCs/>
        </w:rPr>
        <w:t>Highest average supplier reliability:</w:t>
      </w:r>
      <w:r w:rsidRPr="004E45DD">
        <w:t> </w:t>
      </w:r>
      <w:proofErr w:type="spellStart"/>
      <w:r w:rsidRPr="004E45DD">
        <w:rPr>
          <w:b/>
          <w:bCs/>
        </w:rPr>
        <w:t>EcoSupply</w:t>
      </w:r>
      <w:proofErr w:type="spellEnd"/>
      <w:r w:rsidRPr="004E45DD">
        <w:rPr>
          <w:b/>
          <w:bCs/>
        </w:rPr>
        <w:t xml:space="preserve"> (93.2%)</w:t>
      </w:r>
    </w:p>
    <w:p w14:paraId="7F7FAE60" w14:textId="77777777" w:rsidR="004E45DD" w:rsidRPr="004E45DD" w:rsidRDefault="004E45DD" w:rsidP="004E45DD">
      <w:pPr>
        <w:numPr>
          <w:ilvl w:val="1"/>
          <w:numId w:val="1"/>
        </w:numPr>
      </w:pPr>
      <w:r w:rsidRPr="004E45DD">
        <w:rPr>
          <w:b/>
          <w:bCs/>
        </w:rPr>
        <w:t>Highest average defect rate:</w:t>
      </w:r>
      <w:r w:rsidRPr="004E45DD">
        <w:t> </w:t>
      </w:r>
      <w:proofErr w:type="spellStart"/>
      <w:r w:rsidRPr="004E45DD">
        <w:rPr>
          <w:b/>
          <w:bCs/>
        </w:rPr>
        <w:t>PrimeLogistics</w:t>
      </w:r>
      <w:proofErr w:type="spellEnd"/>
      <w:r w:rsidRPr="004E45DD">
        <w:rPr>
          <w:b/>
          <w:bCs/>
        </w:rPr>
        <w:t xml:space="preserve"> (2.89%)</w:t>
      </w:r>
    </w:p>
    <w:p w14:paraId="6051915C" w14:textId="77777777" w:rsidR="004E45DD" w:rsidRPr="004E45DD" w:rsidRDefault="004E45DD" w:rsidP="004E45DD">
      <w:pPr>
        <w:rPr>
          <w:b/>
          <w:bCs/>
        </w:rPr>
      </w:pPr>
      <w:r w:rsidRPr="004E45DD">
        <w:rPr>
          <w:rFonts w:ascii="Segoe UI Emoji" w:hAnsi="Segoe UI Emoji" w:cs="Segoe UI Emoji"/>
          <w:b/>
          <w:bCs/>
        </w:rPr>
        <w:t>📌</w:t>
      </w:r>
      <w:r w:rsidRPr="004E45DD">
        <w:rPr>
          <w:b/>
          <w:bCs/>
        </w:rPr>
        <w:t xml:space="preserve"> Supplier summary</w:t>
      </w:r>
    </w:p>
    <w:tbl>
      <w:tblPr>
        <w:tblW w:w="0" w:type="auto"/>
        <w:tblCellSpacing w:w="15"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921"/>
        <w:gridCol w:w="1236"/>
        <w:gridCol w:w="1732"/>
        <w:gridCol w:w="1656"/>
        <w:gridCol w:w="1522"/>
        <w:gridCol w:w="1293"/>
      </w:tblGrid>
      <w:tr w:rsidR="004E45DD" w:rsidRPr="004E45DD" w14:paraId="7CDCA53E" w14:textId="77777777">
        <w:trPr>
          <w:tblHeader/>
          <w:tblCellSpacing w:w="15" w:type="dxa"/>
        </w:trPr>
        <w:tc>
          <w:tcPr>
            <w:tcW w:w="0" w:type="auto"/>
            <w:tcBorders>
              <w:top w:val="nil"/>
              <w:left w:val="nil"/>
              <w:bottom w:val="single" w:sz="6" w:space="0" w:color="auto"/>
              <w:right w:val="nil"/>
            </w:tcBorders>
            <w:shd w:val="clear" w:color="auto" w:fill="F5F5F5"/>
            <w:tcMar>
              <w:top w:w="90" w:type="dxa"/>
              <w:left w:w="150" w:type="dxa"/>
              <w:bottom w:w="90" w:type="dxa"/>
              <w:right w:w="150" w:type="dxa"/>
            </w:tcMar>
            <w:vAlign w:val="center"/>
            <w:hideMark/>
          </w:tcPr>
          <w:p w14:paraId="34425342" w14:textId="77777777" w:rsidR="004E45DD" w:rsidRPr="004E45DD" w:rsidRDefault="004E45DD" w:rsidP="004E45DD">
            <w:pPr>
              <w:rPr>
                <w:b/>
                <w:bCs/>
              </w:rPr>
            </w:pPr>
            <w:r w:rsidRPr="004E45DD">
              <w:rPr>
                <w:b/>
                <w:bCs/>
              </w:rPr>
              <w:t>Supplier</w:t>
            </w:r>
          </w:p>
        </w:tc>
        <w:tc>
          <w:tcPr>
            <w:tcW w:w="0" w:type="auto"/>
            <w:tcBorders>
              <w:top w:val="nil"/>
              <w:left w:val="nil"/>
              <w:bottom w:val="single" w:sz="6" w:space="0" w:color="auto"/>
              <w:right w:val="nil"/>
            </w:tcBorders>
            <w:shd w:val="clear" w:color="auto" w:fill="F5F5F5"/>
            <w:tcMar>
              <w:top w:w="90" w:type="dxa"/>
              <w:left w:w="150" w:type="dxa"/>
              <w:bottom w:w="90" w:type="dxa"/>
              <w:right w:w="150" w:type="dxa"/>
            </w:tcMar>
            <w:vAlign w:val="center"/>
            <w:hideMark/>
          </w:tcPr>
          <w:p w14:paraId="6F80E6D6" w14:textId="77777777" w:rsidR="004E45DD" w:rsidRPr="004E45DD" w:rsidRDefault="004E45DD" w:rsidP="004E45DD">
            <w:pPr>
              <w:rPr>
                <w:b/>
                <w:bCs/>
              </w:rPr>
            </w:pPr>
            <w:r w:rsidRPr="004E45DD">
              <w:rPr>
                <w:b/>
                <w:bCs/>
              </w:rPr>
              <w:t>Records</w:t>
            </w:r>
          </w:p>
        </w:tc>
        <w:tc>
          <w:tcPr>
            <w:tcW w:w="0" w:type="auto"/>
            <w:tcBorders>
              <w:top w:val="nil"/>
              <w:left w:val="nil"/>
              <w:bottom w:val="single" w:sz="6" w:space="0" w:color="auto"/>
              <w:right w:val="nil"/>
            </w:tcBorders>
            <w:shd w:val="clear" w:color="auto" w:fill="F5F5F5"/>
            <w:tcMar>
              <w:top w:w="90" w:type="dxa"/>
              <w:left w:w="150" w:type="dxa"/>
              <w:bottom w:w="90" w:type="dxa"/>
              <w:right w:w="150" w:type="dxa"/>
            </w:tcMar>
            <w:vAlign w:val="center"/>
            <w:hideMark/>
          </w:tcPr>
          <w:p w14:paraId="3F24941B" w14:textId="77777777" w:rsidR="004E45DD" w:rsidRPr="004E45DD" w:rsidRDefault="004E45DD" w:rsidP="004E45DD">
            <w:pPr>
              <w:rPr>
                <w:b/>
                <w:bCs/>
              </w:rPr>
            </w:pPr>
            <w:r w:rsidRPr="004E45DD">
              <w:rPr>
                <w:b/>
                <w:bCs/>
              </w:rPr>
              <w:t>Avg Delivery Timeline (Days)</w:t>
            </w:r>
          </w:p>
        </w:tc>
        <w:tc>
          <w:tcPr>
            <w:tcW w:w="0" w:type="auto"/>
            <w:tcBorders>
              <w:top w:val="nil"/>
              <w:left w:val="nil"/>
              <w:bottom w:val="single" w:sz="6" w:space="0" w:color="auto"/>
              <w:right w:val="nil"/>
            </w:tcBorders>
            <w:shd w:val="clear" w:color="auto" w:fill="F5F5F5"/>
            <w:tcMar>
              <w:top w:w="90" w:type="dxa"/>
              <w:left w:w="150" w:type="dxa"/>
              <w:bottom w:w="90" w:type="dxa"/>
              <w:right w:w="150" w:type="dxa"/>
            </w:tcMar>
            <w:vAlign w:val="center"/>
            <w:hideMark/>
          </w:tcPr>
          <w:p w14:paraId="7952AD17" w14:textId="77777777" w:rsidR="004E45DD" w:rsidRPr="004E45DD" w:rsidRDefault="004E45DD" w:rsidP="004E45DD">
            <w:pPr>
              <w:rPr>
                <w:b/>
                <w:bCs/>
              </w:rPr>
            </w:pPr>
            <w:r w:rsidRPr="004E45DD">
              <w:rPr>
                <w:b/>
                <w:bCs/>
              </w:rPr>
              <w:t>Avg On-Time Delivery Rate</w:t>
            </w:r>
          </w:p>
        </w:tc>
        <w:tc>
          <w:tcPr>
            <w:tcW w:w="0" w:type="auto"/>
            <w:tcBorders>
              <w:top w:val="nil"/>
              <w:left w:val="nil"/>
              <w:bottom w:val="single" w:sz="6" w:space="0" w:color="auto"/>
              <w:right w:val="nil"/>
            </w:tcBorders>
            <w:shd w:val="clear" w:color="auto" w:fill="F5F5F5"/>
            <w:tcMar>
              <w:top w:w="90" w:type="dxa"/>
              <w:left w:w="150" w:type="dxa"/>
              <w:bottom w:w="90" w:type="dxa"/>
              <w:right w:w="150" w:type="dxa"/>
            </w:tcMar>
            <w:vAlign w:val="center"/>
            <w:hideMark/>
          </w:tcPr>
          <w:p w14:paraId="73C75106" w14:textId="77777777" w:rsidR="004E45DD" w:rsidRPr="004E45DD" w:rsidRDefault="004E45DD" w:rsidP="004E45DD">
            <w:pPr>
              <w:rPr>
                <w:b/>
                <w:bCs/>
              </w:rPr>
            </w:pPr>
            <w:r w:rsidRPr="004E45DD">
              <w:rPr>
                <w:b/>
                <w:bCs/>
              </w:rPr>
              <w:t>Avg Reliability</w:t>
            </w:r>
          </w:p>
        </w:tc>
        <w:tc>
          <w:tcPr>
            <w:tcW w:w="0" w:type="auto"/>
            <w:tcBorders>
              <w:top w:val="nil"/>
              <w:left w:val="nil"/>
              <w:bottom w:val="single" w:sz="6" w:space="0" w:color="auto"/>
              <w:right w:val="nil"/>
            </w:tcBorders>
            <w:shd w:val="clear" w:color="auto" w:fill="F5F5F5"/>
            <w:tcMar>
              <w:top w:w="90" w:type="dxa"/>
              <w:left w:w="150" w:type="dxa"/>
              <w:bottom w:w="90" w:type="dxa"/>
              <w:right w:w="150" w:type="dxa"/>
            </w:tcMar>
            <w:vAlign w:val="center"/>
            <w:hideMark/>
          </w:tcPr>
          <w:p w14:paraId="407C552E" w14:textId="77777777" w:rsidR="004E45DD" w:rsidRPr="004E45DD" w:rsidRDefault="004E45DD" w:rsidP="004E45DD">
            <w:pPr>
              <w:rPr>
                <w:b/>
                <w:bCs/>
              </w:rPr>
            </w:pPr>
            <w:r w:rsidRPr="004E45DD">
              <w:rPr>
                <w:b/>
                <w:bCs/>
              </w:rPr>
              <w:t>Avg Defect Rate</w:t>
            </w:r>
          </w:p>
        </w:tc>
      </w:tr>
      <w:tr w:rsidR="004E45DD" w:rsidRPr="004E45DD" w14:paraId="6239A2F0" w14:textId="77777777">
        <w:trPr>
          <w:tblCellSpacing w:w="15" w:type="dxa"/>
        </w:trPr>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37BC2C11" w14:textId="77777777" w:rsidR="004E45DD" w:rsidRPr="004E45DD" w:rsidRDefault="004E45DD" w:rsidP="004E45DD">
            <w:proofErr w:type="spellStart"/>
            <w:r w:rsidRPr="004E45DD">
              <w:t>EcoSupply</w:t>
            </w:r>
            <w:proofErr w:type="spellEnd"/>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48F35B6C" w14:textId="77777777" w:rsidR="004E45DD" w:rsidRPr="004E45DD" w:rsidRDefault="004E45DD" w:rsidP="004E45DD">
            <w:r w:rsidRPr="004E45DD">
              <w:t>10</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3B071082" w14:textId="77777777" w:rsidR="004E45DD" w:rsidRPr="004E45DD" w:rsidRDefault="004E45DD" w:rsidP="004E45DD">
            <w:r w:rsidRPr="004E45DD">
              <w:t>15.0</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19110FA4" w14:textId="77777777" w:rsidR="004E45DD" w:rsidRPr="004E45DD" w:rsidRDefault="004E45DD" w:rsidP="004E45DD">
            <w:r w:rsidRPr="004E45DD">
              <w:t>87.9%</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3E91B3D6" w14:textId="77777777" w:rsidR="004E45DD" w:rsidRPr="004E45DD" w:rsidRDefault="004E45DD" w:rsidP="004E45DD">
            <w:r w:rsidRPr="004E45DD">
              <w:t>93.2%</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76ACE77D" w14:textId="77777777" w:rsidR="004E45DD" w:rsidRPr="004E45DD" w:rsidRDefault="004E45DD" w:rsidP="004E45DD">
            <w:r w:rsidRPr="004E45DD">
              <w:t>2.50%</w:t>
            </w:r>
          </w:p>
        </w:tc>
      </w:tr>
      <w:tr w:rsidR="004E45DD" w:rsidRPr="004E45DD" w14:paraId="3EBEB283" w14:textId="77777777">
        <w:trPr>
          <w:tblCellSpacing w:w="15" w:type="dxa"/>
        </w:trPr>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582CCD31" w14:textId="77777777" w:rsidR="004E45DD" w:rsidRPr="004E45DD" w:rsidRDefault="004E45DD" w:rsidP="004E45DD">
            <w:proofErr w:type="spellStart"/>
            <w:r w:rsidRPr="004E45DD">
              <w:t>RawMatPlus</w:t>
            </w:r>
            <w:proofErr w:type="spellEnd"/>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49C8C23E" w14:textId="77777777" w:rsidR="004E45DD" w:rsidRPr="004E45DD" w:rsidRDefault="004E45DD" w:rsidP="004E45DD">
            <w:r w:rsidRPr="004E45DD">
              <w:t>13</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35D09E83" w14:textId="77777777" w:rsidR="004E45DD" w:rsidRPr="004E45DD" w:rsidRDefault="004E45DD" w:rsidP="004E45DD">
            <w:r w:rsidRPr="004E45DD">
              <w:t>14.2</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1F5DE733" w14:textId="77777777" w:rsidR="004E45DD" w:rsidRPr="004E45DD" w:rsidRDefault="004E45DD" w:rsidP="004E45DD">
            <w:r w:rsidRPr="004E45DD">
              <w:t>90.6%</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707B60AC" w14:textId="77777777" w:rsidR="004E45DD" w:rsidRPr="004E45DD" w:rsidRDefault="004E45DD" w:rsidP="004E45DD">
            <w:r w:rsidRPr="004E45DD">
              <w:t>92.8%</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48389BD2" w14:textId="77777777" w:rsidR="004E45DD" w:rsidRPr="004E45DD" w:rsidRDefault="004E45DD" w:rsidP="004E45DD">
            <w:r w:rsidRPr="004E45DD">
              <w:t>2.60%</w:t>
            </w:r>
          </w:p>
        </w:tc>
      </w:tr>
      <w:tr w:rsidR="004E45DD" w:rsidRPr="004E45DD" w14:paraId="33014A59" w14:textId="77777777">
        <w:trPr>
          <w:tblCellSpacing w:w="15" w:type="dxa"/>
        </w:trPr>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34D322A8" w14:textId="77777777" w:rsidR="004E45DD" w:rsidRPr="004E45DD" w:rsidRDefault="004E45DD" w:rsidP="004E45DD">
            <w:proofErr w:type="spellStart"/>
            <w:r w:rsidRPr="004E45DD">
              <w:t>GlobalChem</w:t>
            </w:r>
            <w:proofErr w:type="spellEnd"/>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22E5636C" w14:textId="77777777" w:rsidR="004E45DD" w:rsidRPr="004E45DD" w:rsidRDefault="004E45DD" w:rsidP="004E45DD">
            <w:r w:rsidRPr="004E45DD">
              <w:t>9</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5523D849" w14:textId="77777777" w:rsidR="004E45DD" w:rsidRPr="004E45DD" w:rsidRDefault="004E45DD" w:rsidP="004E45DD">
            <w:r w:rsidRPr="004E45DD">
              <w:t>16.4</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5B2D4F3F" w14:textId="77777777" w:rsidR="004E45DD" w:rsidRPr="004E45DD" w:rsidRDefault="004E45DD" w:rsidP="004E45DD">
            <w:r w:rsidRPr="004E45DD">
              <w:t>90.9%</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7445FED9" w14:textId="77777777" w:rsidR="004E45DD" w:rsidRPr="004E45DD" w:rsidRDefault="004E45DD" w:rsidP="004E45DD">
            <w:r w:rsidRPr="004E45DD">
              <w:t>92.6%</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3C4EB84E" w14:textId="77777777" w:rsidR="004E45DD" w:rsidRPr="004E45DD" w:rsidRDefault="004E45DD" w:rsidP="004E45DD">
            <w:r w:rsidRPr="004E45DD">
              <w:t>2.57%</w:t>
            </w:r>
          </w:p>
        </w:tc>
      </w:tr>
      <w:tr w:rsidR="004E45DD" w:rsidRPr="004E45DD" w14:paraId="0460508E" w14:textId="77777777">
        <w:trPr>
          <w:tblCellSpacing w:w="15" w:type="dxa"/>
        </w:trPr>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538E1325" w14:textId="77777777" w:rsidR="004E45DD" w:rsidRPr="004E45DD" w:rsidRDefault="004E45DD" w:rsidP="004E45DD">
            <w:r w:rsidRPr="004E45DD">
              <w:t>NextGen Pharma</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0C8151FA" w14:textId="77777777" w:rsidR="004E45DD" w:rsidRPr="004E45DD" w:rsidRDefault="004E45DD" w:rsidP="004E45DD">
            <w:r w:rsidRPr="004E45DD">
              <w:t>11</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5832AE00" w14:textId="77777777" w:rsidR="004E45DD" w:rsidRPr="004E45DD" w:rsidRDefault="004E45DD" w:rsidP="004E45DD">
            <w:r w:rsidRPr="004E45DD">
              <w:t>10.7</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2B4A0919" w14:textId="77777777" w:rsidR="004E45DD" w:rsidRPr="004E45DD" w:rsidRDefault="004E45DD" w:rsidP="004E45DD">
            <w:r w:rsidRPr="004E45DD">
              <w:t>91.5%</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524BC86A" w14:textId="77777777" w:rsidR="004E45DD" w:rsidRPr="004E45DD" w:rsidRDefault="004E45DD" w:rsidP="004E45DD">
            <w:r w:rsidRPr="004E45DD">
              <w:t>91.8%</w:t>
            </w:r>
          </w:p>
        </w:tc>
        <w:tc>
          <w:tcPr>
            <w:tcW w:w="0" w:type="auto"/>
            <w:tcBorders>
              <w:top w:val="nil"/>
              <w:left w:val="nil"/>
              <w:bottom w:val="single" w:sz="6" w:space="0" w:color="auto"/>
              <w:right w:val="nil"/>
            </w:tcBorders>
            <w:tcMar>
              <w:top w:w="90" w:type="dxa"/>
              <w:left w:w="150" w:type="dxa"/>
              <w:bottom w:w="90" w:type="dxa"/>
              <w:right w:w="150" w:type="dxa"/>
            </w:tcMar>
            <w:vAlign w:val="center"/>
            <w:hideMark/>
          </w:tcPr>
          <w:p w14:paraId="40547D86" w14:textId="77777777" w:rsidR="004E45DD" w:rsidRPr="004E45DD" w:rsidRDefault="004E45DD" w:rsidP="004E45DD">
            <w:r w:rsidRPr="004E45DD">
              <w:t>2.22%</w:t>
            </w:r>
          </w:p>
        </w:tc>
      </w:tr>
      <w:tr w:rsidR="004E45DD" w:rsidRPr="004E45DD" w14:paraId="3BA79478" w14:textId="77777777">
        <w:trPr>
          <w:tblCellSpacing w:w="15" w:type="dxa"/>
        </w:trPr>
        <w:tc>
          <w:tcPr>
            <w:tcW w:w="0" w:type="auto"/>
            <w:tcBorders>
              <w:top w:val="nil"/>
              <w:left w:val="nil"/>
              <w:bottom w:val="single" w:sz="2" w:space="0" w:color="auto"/>
              <w:right w:val="nil"/>
            </w:tcBorders>
            <w:tcMar>
              <w:top w:w="90" w:type="dxa"/>
              <w:left w:w="150" w:type="dxa"/>
              <w:bottom w:w="90" w:type="dxa"/>
              <w:right w:w="150" w:type="dxa"/>
            </w:tcMar>
            <w:vAlign w:val="center"/>
            <w:hideMark/>
          </w:tcPr>
          <w:p w14:paraId="7DFF0703" w14:textId="77777777" w:rsidR="004E45DD" w:rsidRPr="004E45DD" w:rsidRDefault="004E45DD" w:rsidP="004E45DD">
            <w:proofErr w:type="spellStart"/>
            <w:r w:rsidRPr="004E45DD">
              <w:t>PrimeLogistics</w:t>
            </w:r>
            <w:proofErr w:type="spellEnd"/>
          </w:p>
        </w:tc>
        <w:tc>
          <w:tcPr>
            <w:tcW w:w="0" w:type="auto"/>
            <w:tcBorders>
              <w:top w:val="nil"/>
              <w:left w:val="nil"/>
              <w:bottom w:val="single" w:sz="2" w:space="0" w:color="auto"/>
              <w:right w:val="nil"/>
            </w:tcBorders>
            <w:tcMar>
              <w:top w:w="90" w:type="dxa"/>
              <w:left w:w="150" w:type="dxa"/>
              <w:bottom w:w="90" w:type="dxa"/>
              <w:right w:w="150" w:type="dxa"/>
            </w:tcMar>
            <w:vAlign w:val="center"/>
            <w:hideMark/>
          </w:tcPr>
          <w:p w14:paraId="3BBCFD78" w14:textId="77777777" w:rsidR="004E45DD" w:rsidRPr="004E45DD" w:rsidRDefault="004E45DD" w:rsidP="004E45DD">
            <w:r w:rsidRPr="004E45DD">
              <w:t>7</w:t>
            </w:r>
          </w:p>
        </w:tc>
        <w:tc>
          <w:tcPr>
            <w:tcW w:w="0" w:type="auto"/>
            <w:tcBorders>
              <w:top w:val="nil"/>
              <w:left w:val="nil"/>
              <w:bottom w:val="single" w:sz="2" w:space="0" w:color="auto"/>
              <w:right w:val="nil"/>
            </w:tcBorders>
            <w:tcMar>
              <w:top w:w="90" w:type="dxa"/>
              <w:left w:w="150" w:type="dxa"/>
              <w:bottom w:w="90" w:type="dxa"/>
              <w:right w:w="150" w:type="dxa"/>
            </w:tcMar>
            <w:vAlign w:val="center"/>
            <w:hideMark/>
          </w:tcPr>
          <w:p w14:paraId="5C54B657" w14:textId="77777777" w:rsidR="004E45DD" w:rsidRPr="004E45DD" w:rsidRDefault="004E45DD" w:rsidP="004E45DD">
            <w:r w:rsidRPr="004E45DD">
              <w:t>11.0</w:t>
            </w:r>
          </w:p>
        </w:tc>
        <w:tc>
          <w:tcPr>
            <w:tcW w:w="0" w:type="auto"/>
            <w:tcBorders>
              <w:top w:val="nil"/>
              <w:left w:val="nil"/>
              <w:bottom w:val="single" w:sz="2" w:space="0" w:color="auto"/>
              <w:right w:val="nil"/>
            </w:tcBorders>
            <w:tcMar>
              <w:top w:w="90" w:type="dxa"/>
              <w:left w:w="150" w:type="dxa"/>
              <w:bottom w:w="90" w:type="dxa"/>
              <w:right w:w="150" w:type="dxa"/>
            </w:tcMar>
            <w:vAlign w:val="center"/>
            <w:hideMark/>
          </w:tcPr>
          <w:p w14:paraId="38E407F7" w14:textId="77777777" w:rsidR="004E45DD" w:rsidRPr="004E45DD" w:rsidRDefault="004E45DD" w:rsidP="004E45DD">
            <w:r w:rsidRPr="004E45DD">
              <w:t>88.0%</w:t>
            </w:r>
          </w:p>
        </w:tc>
        <w:tc>
          <w:tcPr>
            <w:tcW w:w="0" w:type="auto"/>
            <w:tcBorders>
              <w:top w:val="nil"/>
              <w:left w:val="nil"/>
              <w:bottom w:val="single" w:sz="2" w:space="0" w:color="auto"/>
              <w:right w:val="nil"/>
            </w:tcBorders>
            <w:tcMar>
              <w:top w:w="90" w:type="dxa"/>
              <w:left w:w="150" w:type="dxa"/>
              <w:bottom w:w="90" w:type="dxa"/>
              <w:right w:w="150" w:type="dxa"/>
            </w:tcMar>
            <w:vAlign w:val="center"/>
            <w:hideMark/>
          </w:tcPr>
          <w:p w14:paraId="1F1258D6" w14:textId="77777777" w:rsidR="004E45DD" w:rsidRPr="004E45DD" w:rsidRDefault="004E45DD" w:rsidP="004E45DD">
            <w:r w:rsidRPr="004E45DD">
              <w:t>91.4%</w:t>
            </w:r>
          </w:p>
        </w:tc>
        <w:tc>
          <w:tcPr>
            <w:tcW w:w="0" w:type="auto"/>
            <w:tcBorders>
              <w:top w:val="nil"/>
              <w:left w:val="nil"/>
              <w:bottom w:val="single" w:sz="2" w:space="0" w:color="auto"/>
              <w:right w:val="nil"/>
            </w:tcBorders>
            <w:tcMar>
              <w:top w:w="90" w:type="dxa"/>
              <w:left w:w="150" w:type="dxa"/>
              <w:bottom w:w="90" w:type="dxa"/>
              <w:right w:w="150" w:type="dxa"/>
            </w:tcMar>
            <w:vAlign w:val="center"/>
            <w:hideMark/>
          </w:tcPr>
          <w:p w14:paraId="1DE6D5DF" w14:textId="77777777" w:rsidR="004E45DD" w:rsidRPr="004E45DD" w:rsidRDefault="004E45DD" w:rsidP="004E45DD">
            <w:r w:rsidRPr="004E45DD">
              <w:t>2.89%</w:t>
            </w:r>
          </w:p>
        </w:tc>
      </w:tr>
    </w:tbl>
    <w:p w14:paraId="26F78BDF" w14:textId="77777777" w:rsidR="004E45DD" w:rsidRPr="004E45DD" w:rsidRDefault="004E45DD" w:rsidP="004E45DD">
      <w:pPr>
        <w:rPr>
          <w:b/>
          <w:bCs/>
        </w:rPr>
      </w:pPr>
      <w:r w:rsidRPr="004E45DD">
        <w:rPr>
          <w:rFonts w:ascii="Segoe UI Emoji" w:hAnsi="Segoe UI Emoji" w:cs="Segoe UI Emoji"/>
          <w:b/>
          <w:bCs/>
        </w:rPr>
        <w:t>🧭</w:t>
      </w:r>
      <w:r w:rsidRPr="004E45DD">
        <w:rPr>
          <w:b/>
          <w:bCs/>
        </w:rPr>
        <w:t xml:space="preserve"> Quick readout</w:t>
      </w:r>
    </w:p>
    <w:p w14:paraId="01BDC068" w14:textId="77777777" w:rsidR="004E45DD" w:rsidRPr="004E45DD" w:rsidRDefault="004E45DD" w:rsidP="004E45DD">
      <w:pPr>
        <w:numPr>
          <w:ilvl w:val="0"/>
          <w:numId w:val="2"/>
        </w:numPr>
      </w:pPr>
      <w:r w:rsidRPr="004E45DD">
        <w:rPr>
          <w:b/>
          <w:bCs/>
        </w:rPr>
        <w:lastRenderedPageBreak/>
        <w:t>Medium-risk items are taking the longest on average</w:t>
      </w:r>
      <w:r w:rsidRPr="004E45DD">
        <w:t>, which suggests they may not be getting the same urgency as high-risk components.</w:t>
      </w:r>
    </w:p>
    <w:p w14:paraId="678B19D0" w14:textId="77777777" w:rsidR="004E45DD" w:rsidRPr="004E45DD" w:rsidRDefault="004E45DD" w:rsidP="004E45DD">
      <w:pPr>
        <w:numPr>
          <w:ilvl w:val="0"/>
          <w:numId w:val="2"/>
        </w:numPr>
      </w:pPr>
      <w:r w:rsidRPr="004E45DD">
        <w:t>Among the delayed components you named, </w:t>
      </w:r>
      <w:r w:rsidRPr="004E45DD">
        <w:rPr>
          <w:b/>
          <w:bCs/>
        </w:rPr>
        <w:t>COAT890 is the weakest performer</w:t>
      </w:r>
      <w:r w:rsidRPr="004E45DD">
        <w:t> on on-time delivery.</w:t>
      </w:r>
    </w:p>
    <w:p w14:paraId="5E6A3E11" w14:textId="77777777" w:rsidR="004E45DD" w:rsidRPr="004E45DD" w:rsidRDefault="004E45DD" w:rsidP="004E45DD">
      <w:pPr>
        <w:numPr>
          <w:ilvl w:val="0"/>
          <w:numId w:val="2"/>
        </w:numPr>
      </w:pPr>
      <w:r w:rsidRPr="004E45DD">
        <w:rPr>
          <w:b/>
          <w:bCs/>
        </w:rPr>
        <w:t>NextGen Pharma looks strongest overall operationally</w:t>
      </w:r>
      <w:r w:rsidRPr="004E45DD">
        <w:t> on speed and on-time delivery.</w:t>
      </w:r>
    </w:p>
    <w:p w14:paraId="2CDC0C89" w14:textId="77777777" w:rsidR="004E45DD" w:rsidRPr="004E45DD" w:rsidRDefault="004E45DD" w:rsidP="004E45DD">
      <w:pPr>
        <w:numPr>
          <w:ilvl w:val="0"/>
          <w:numId w:val="2"/>
        </w:numPr>
      </w:pPr>
      <w:proofErr w:type="spellStart"/>
      <w:r w:rsidRPr="004E45DD">
        <w:rPr>
          <w:b/>
          <w:bCs/>
        </w:rPr>
        <w:t>EcoSupply</w:t>
      </w:r>
      <w:proofErr w:type="spellEnd"/>
      <w:r w:rsidRPr="004E45DD">
        <w:rPr>
          <w:b/>
          <w:bCs/>
        </w:rPr>
        <w:t xml:space="preserve"> and </w:t>
      </w:r>
      <w:proofErr w:type="spellStart"/>
      <w:r w:rsidRPr="004E45DD">
        <w:rPr>
          <w:b/>
          <w:bCs/>
        </w:rPr>
        <w:t>PrimeLogistics</w:t>
      </w:r>
      <w:proofErr w:type="spellEnd"/>
      <w:r w:rsidRPr="004E45DD">
        <w:rPr>
          <w:b/>
          <w:bCs/>
        </w:rPr>
        <w:t xml:space="preserve"> may need closer review</w:t>
      </w:r>
      <w:r w:rsidRPr="004E45DD">
        <w:t xml:space="preserve">: </w:t>
      </w:r>
      <w:proofErr w:type="spellStart"/>
      <w:r w:rsidRPr="004E45DD">
        <w:t>EcoSupply</w:t>
      </w:r>
      <w:proofErr w:type="spellEnd"/>
      <w:r w:rsidRPr="004E45DD">
        <w:t xml:space="preserve"> for lower on-time performance, </w:t>
      </w:r>
      <w:proofErr w:type="spellStart"/>
      <w:r w:rsidRPr="004E45DD">
        <w:t>PrimeLogistics</w:t>
      </w:r>
      <w:proofErr w:type="spellEnd"/>
      <w:r w:rsidRPr="004E45DD">
        <w:t xml:space="preserve"> for the highest defect rate.</w:t>
      </w:r>
    </w:p>
    <w:p w14:paraId="10D9AF00" w14:textId="77777777" w:rsidR="004E45DD" w:rsidRPr="004E45DD" w:rsidRDefault="004E45DD" w:rsidP="004E45DD">
      <w:r w:rsidRPr="004E45DD">
        <w:rPr>
          <w:b/>
          <w:bCs/>
        </w:rPr>
        <w:t>Assumption:</w:t>
      </w:r>
      <w:r w:rsidRPr="004E45DD">
        <w:t> I treated “on-time delivery rate for delayed components” as the </w:t>
      </w:r>
      <w:r w:rsidRPr="004E45DD">
        <w:rPr>
          <w:b/>
          <w:bCs/>
        </w:rPr>
        <w:t>average of the existing On-Time Delivery Rate (%) field for all rows matching CARB123, BIND567, and COAT890</w:t>
      </w:r>
      <w:r w:rsidRPr="004E45DD">
        <w:t> in the dataset.</w:t>
      </w:r>
    </w:p>
    <w:p w14:paraId="0A1B5491" w14:textId="77777777" w:rsidR="004E45DD" w:rsidRPr="004E45DD" w:rsidRDefault="004E45DD" w:rsidP="004E45DD">
      <w:r w:rsidRPr="004E45DD">
        <w:t>Show details</w:t>
      </w:r>
    </w:p>
    <w:p w14:paraId="5587EFAE" w14:textId="77777777" w:rsidR="004E45DD" w:rsidRPr="004E45DD" w:rsidRDefault="004E45DD" w:rsidP="004E45DD">
      <w:r w:rsidRPr="004E45DD">
        <w:t>I used the dataset in </w:t>
      </w:r>
      <w:proofErr w:type="gramStart"/>
      <w:r w:rsidRPr="004E45DD">
        <w:rPr>
          <w:b/>
          <w:bCs/>
        </w:rPr>
        <w:t>Dataset!A1:T51</w:t>
      </w:r>
      <w:proofErr w:type="gramEnd"/>
      <w:r w:rsidRPr="004E45DD">
        <w:t> as the primary source, with the qualitative notes in </w:t>
      </w:r>
      <w:proofErr w:type="gramStart"/>
      <w:r w:rsidRPr="004E45DD">
        <w:rPr>
          <w:b/>
          <w:bCs/>
        </w:rPr>
        <w:t>Analysis!A1:I4</w:t>
      </w:r>
      <w:proofErr w:type="gramEnd"/>
      <w:r w:rsidRPr="004E45DD">
        <w:t> as supporting context.</w:t>
      </w:r>
    </w:p>
    <w:p w14:paraId="5B02B81B" w14:textId="77777777" w:rsidR="004E45DD" w:rsidRPr="004E45DD" w:rsidRDefault="004E45DD" w:rsidP="004E45DD">
      <w:r w:rsidRPr="004E45DD">
        <w:t>I calculated:</w:t>
      </w:r>
    </w:p>
    <w:p w14:paraId="125DD21B" w14:textId="77777777" w:rsidR="004E45DD" w:rsidRPr="004E45DD" w:rsidRDefault="004E45DD" w:rsidP="004E45DD">
      <w:pPr>
        <w:numPr>
          <w:ilvl w:val="0"/>
          <w:numId w:val="3"/>
        </w:numPr>
      </w:pPr>
      <w:r w:rsidRPr="004E45DD">
        <w:rPr>
          <w:b/>
          <w:bCs/>
        </w:rPr>
        <w:t>Average delivery timeline by risk level</w:t>
      </w:r>
      <w:r w:rsidRPr="004E45DD">
        <w:t> from:</w:t>
      </w:r>
    </w:p>
    <w:p w14:paraId="345217AC" w14:textId="77777777" w:rsidR="004E45DD" w:rsidRPr="004E45DD" w:rsidRDefault="004E45DD" w:rsidP="004E45DD">
      <w:pPr>
        <w:numPr>
          <w:ilvl w:val="1"/>
          <w:numId w:val="3"/>
        </w:numPr>
      </w:pPr>
      <w:r w:rsidRPr="004E45DD">
        <w:t>Risk Level</w:t>
      </w:r>
    </w:p>
    <w:p w14:paraId="4C62EE5C" w14:textId="77777777" w:rsidR="004E45DD" w:rsidRPr="004E45DD" w:rsidRDefault="004E45DD" w:rsidP="004E45DD">
      <w:pPr>
        <w:numPr>
          <w:ilvl w:val="1"/>
          <w:numId w:val="3"/>
        </w:numPr>
      </w:pPr>
      <w:r w:rsidRPr="004E45DD">
        <w:t>Delivery Timeline (Days)</w:t>
      </w:r>
    </w:p>
    <w:p w14:paraId="0A5F2733" w14:textId="77777777" w:rsidR="004E45DD" w:rsidRPr="004E45DD" w:rsidRDefault="004E45DD" w:rsidP="004E45DD">
      <w:pPr>
        <w:numPr>
          <w:ilvl w:val="0"/>
          <w:numId w:val="3"/>
        </w:numPr>
      </w:pPr>
      <w:r w:rsidRPr="004E45DD">
        <w:rPr>
          <w:b/>
          <w:bCs/>
        </w:rPr>
        <w:t xml:space="preserve">On-time delivery </w:t>
      </w:r>
      <w:proofErr w:type="gramStart"/>
      <w:r w:rsidRPr="004E45DD">
        <w:rPr>
          <w:b/>
          <w:bCs/>
        </w:rPr>
        <w:t>for</w:t>
      </w:r>
      <w:proofErr w:type="gramEnd"/>
      <w:r w:rsidRPr="004E45DD">
        <w:rPr>
          <w:b/>
          <w:bCs/>
        </w:rPr>
        <w:t xml:space="preserve"> delayed components</w:t>
      </w:r>
      <w:r w:rsidRPr="004E45DD">
        <w:t> by filtering:</w:t>
      </w:r>
    </w:p>
    <w:p w14:paraId="7F6F98F4" w14:textId="77777777" w:rsidR="004E45DD" w:rsidRPr="004E45DD" w:rsidRDefault="004E45DD" w:rsidP="004E45DD">
      <w:pPr>
        <w:numPr>
          <w:ilvl w:val="1"/>
          <w:numId w:val="3"/>
        </w:numPr>
      </w:pPr>
      <w:r w:rsidRPr="004E45DD">
        <w:t>Component Number = CARB123, BIND567, COAT890</w:t>
      </w:r>
    </w:p>
    <w:p w14:paraId="774BC924" w14:textId="77777777" w:rsidR="004E45DD" w:rsidRPr="004E45DD" w:rsidRDefault="004E45DD" w:rsidP="004E45DD">
      <w:pPr>
        <w:numPr>
          <w:ilvl w:val="1"/>
          <w:numId w:val="3"/>
        </w:numPr>
      </w:pPr>
      <w:r w:rsidRPr="004E45DD">
        <w:t>then averaging On-Time Delivery Rate (%)</w:t>
      </w:r>
    </w:p>
    <w:p w14:paraId="317057B3" w14:textId="77777777" w:rsidR="004E45DD" w:rsidRPr="004E45DD" w:rsidRDefault="004E45DD" w:rsidP="004E45DD">
      <w:pPr>
        <w:numPr>
          <w:ilvl w:val="0"/>
          <w:numId w:val="3"/>
        </w:numPr>
      </w:pPr>
      <w:r w:rsidRPr="004E45DD">
        <w:rPr>
          <w:b/>
          <w:bCs/>
        </w:rPr>
        <w:t>Supplier performance breakdown</w:t>
      </w:r>
      <w:r w:rsidRPr="004E45DD">
        <w:t> by grouping Supplier Name and averaging:</w:t>
      </w:r>
    </w:p>
    <w:p w14:paraId="3DE13DFA" w14:textId="77777777" w:rsidR="004E45DD" w:rsidRPr="004E45DD" w:rsidRDefault="004E45DD" w:rsidP="004E45DD">
      <w:pPr>
        <w:numPr>
          <w:ilvl w:val="1"/>
          <w:numId w:val="3"/>
        </w:numPr>
      </w:pPr>
      <w:r w:rsidRPr="004E45DD">
        <w:t>Delivery Timeline (Days)</w:t>
      </w:r>
    </w:p>
    <w:p w14:paraId="05137265" w14:textId="77777777" w:rsidR="004E45DD" w:rsidRPr="004E45DD" w:rsidRDefault="004E45DD" w:rsidP="004E45DD">
      <w:pPr>
        <w:numPr>
          <w:ilvl w:val="1"/>
          <w:numId w:val="3"/>
        </w:numPr>
      </w:pPr>
      <w:r w:rsidRPr="004E45DD">
        <w:t>On-Time Delivery Rate (%)</w:t>
      </w:r>
    </w:p>
    <w:p w14:paraId="5618469C" w14:textId="77777777" w:rsidR="004E45DD" w:rsidRPr="004E45DD" w:rsidRDefault="004E45DD" w:rsidP="004E45DD">
      <w:pPr>
        <w:numPr>
          <w:ilvl w:val="1"/>
          <w:numId w:val="3"/>
        </w:numPr>
      </w:pPr>
      <w:r w:rsidRPr="004E45DD">
        <w:t>Supplier Reliability (%)</w:t>
      </w:r>
    </w:p>
    <w:p w14:paraId="7C59B82B" w14:textId="77777777" w:rsidR="004E45DD" w:rsidRPr="004E45DD" w:rsidRDefault="004E45DD" w:rsidP="004E45DD">
      <w:pPr>
        <w:numPr>
          <w:ilvl w:val="1"/>
          <w:numId w:val="3"/>
        </w:numPr>
      </w:pPr>
      <w:r w:rsidRPr="004E45DD">
        <w:t>Defect Rate (%)</w:t>
      </w:r>
    </w:p>
    <w:p w14:paraId="18FB403C" w14:textId="77777777" w:rsidR="004E45DD" w:rsidRPr="004E45DD" w:rsidRDefault="004E45DD" w:rsidP="004E45DD">
      <w:r w:rsidRPr="004E45DD">
        <w:t>Supporting file references:</w:t>
      </w:r>
    </w:p>
    <w:p w14:paraId="79DC05F3" w14:textId="77777777" w:rsidR="004E45DD" w:rsidRPr="004E45DD" w:rsidRDefault="004E45DD" w:rsidP="004E45DD">
      <w:pPr>
        <w:numPr>
          <w:ilvl w:val="0"/>
          <w:numId w:val="4"/>
        </w:numPr>
      </w:pPr>
      <w:proofErr w:type="gramStart"/>
      <w:r w:rsidRPr="004E45DD">
        <w:rPr>
          <w:b/>
          <w:bCs/>
        </w:rPr>
        <w:t>Dataset!A1:T51</w:t>
      </w:r>
      <w:proofErr w:type="gramEnd"/>
      <w:r w:rsidRPr="004E45DD">
        <w:t> contains the full supply chain records used for all calculations.</w:t>
      </w:r>
    </w:p>
    <w:p w14:paraId="08DD3869" w14:textId="77777777" w:rsidR="004E45DD" w:rsidRPr="004E45DD" w:rsidRDefault="004E45DD" w:rsidP="004E45DD">
      <w:pPr>
        <w:numPr>
          <w:ilvl w:val="0"/>
          <w:numId w:val="4"/>
        </w:numPr>
      </w:pPr>
      <w:proofErr w:type="gramStart"/>
      <w:r w:rsidRPr="004E45DD">
        <w:rPr>
          <w:b/>
          <w:bCs/>
        </w:rPr>
        <w:lastRenderedPageBreak/>
        <w:t>Analysis!A1:I4</w:t>
      </w:r>
      <w:proofErr w:type="gramEnd"/>
      <w:r w:rsidRPr="004E45DD">
        <w:t> includes narrative issue summaries for selected components, including </w:t>
      </w:r>
      <w:r w:rsidRPr="004E45DD">
        <w:rPr>
          <w:b/>
          <w:bCs/>
        </w:rPr>
        <w:t>BIND567</w:t>
      </w:r>
      <w:r w:rsidRPr="004E45DD">
        <w:t>, </w:t>
      </w:r>
      <w:r w:rsidRPr="004E45DD">
        <w:rPr>
          <w:b/>
          <w:bCs/>
        </w:rPr>
        <w:t>COMP042</w:t>
      </w:r>
      <w:r w:rsidRPr="004E45DD">
        <w:t>, and </w:t>
      </w:r>
      <w:r w:rsidRPr="004E45DD">
        <w:rPr>
          <w:b/>
          <w:bCs/>
        </w:rPr>
        <w:t>COMP043</w:t>
      </w:r>
      <w:r w:rsidRPr="004E45DD">
        <w:t>, which supports the broader interpretation of supplier and delay risk.</w:t>
      </w:r>
    </w:p>
    <w:p w14:paraId="70BFD81D" w14:textId="77777777" w:rsidR="004D6847" w:rsidRDefault="004D6847"/>
    <w:sectPr w:rsidR="004D6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B82"/>
    <w:multiLevelType w:val="multilevel"/>
    <w:tmpl w:val="886AE3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D60DFC"/>
    <w:multiLevelType w:val="multilevel"/>
    <w:tmpl w:val="548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8840CD"/>
    <w:multiLevelType w:val="multilevel"/>
    <w:tmpl w:val="74241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7A7922"/>
    <w:multiLevelType w:val="multilevel"/>
    <w:tmpl w:val="CBBE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2306023">
    <w:abstractNumId w:val="2"/>
  </w:num>
  <w:num w:numId="2" w16cid:durableId="998340058">
    <w:abstractNumId w:val="1"/>
  </w:num>
  <w:num w:numId="3" w16cid:durableId="943876222">
    <w:abstractNumId w:val="0"/>
  </w:num>
  <w:num w:numId="4" w16cid:durableId="1428040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DD"/>
    <w:rsid w:val="00054CBF"/>
    <w:rsid w:val="001C2D7D"/>
    <w:rsid w:val="004D6847"/>
    <w:rsid w:val="004E45DD"/>
    <w:rsid w:val="00597CA2"/>
    <w:rsid w:val="009140D3"/>
    <w:rsid w:val="00F05CD0"/>
    <w:rsid w:val="00F8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189B3"/>
  <w15:chartTrackingRefBased/>
  <w15:docId w15:val="{4B61BFA1-BC44-453B-9D59-EE729763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DD"/>
    <w:rPr>
      <w:rFonts w:eastAsiaTheme="majorEastAsia" w:cstheme="majorBidi"/>
      <w:color w:val="272727" w:themeColor="text1" w:themeTint="D8"/>
    </w:rPr>
  </w:style>
  <w:style w:type="paragraph" w:styleId="Title">
    <w:name w:val="Title"/>
    <w:basedOn w:val="Normal"/>
    <w:next w:val="Normal"/>
    <w:link w:val="TitleChar"/>
    <w:uiPriority w:val="10"/>
    <w:qFormat/>
    <w:rsid w:val="004E4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DD"/>
    <w:pPr>
      <w:spacing w:before="160"/>
      <w:jc w:val="center"/>
    </w:pPr>
    <w:rPr>
      <w:i/>
      <w:iCs/>
      <w:color w:val="404040" w:themeColor="text1" w:themeTint="BF"/>
    </w:rPr>
  </w:style>
  <w:style w:type="character" w:customStyle="1" w:styleId="QuoteChar">
    <w:name w:val="Quote Char"/>
    <w:basedOn w:val="DefaultParagraphFont"/>
    <w:link w:val="Quote"/>
    <w:uiPriority w:val="29"/>
    <w:rsid w:val="004E45DD"/>
    <w:rPr>
      <w:i/>
      <w:iCs/>
      <w:color w:val="404040" w:themeColor="text1" w:themeTint="BF"/>
    </w:rPr>
  </w:style>
  <w:style w:type="paragraph" w:styleId="ListParagraph">
    <w:name w:val="List Paragraph"/>
    <w:basedOn w:val="Normal"/>
    <w:uiPriority w:val="34"/>
    <w:qFormat/>
    <w:rsid w:val="004E45DD"/>
    <w:pPr>
      <w:ind w:left="720"/>
      <w:contextualSpacing/>
    </w:pPr>
  </w:style>
  <w:style w:type="character" w:styleId="IntenseEmphasis">
    <w:name w:val="Intense Emphasis"/>
    <w:basedOn w:val="DefaultParagraphFont"/>
    <w:uiPriority w:val="21"/>
    <w:qFormat/>
    <w:rsid w:val="004E45DD"/>
    <w:rPr>
      <w:i/>
      <w:iCs/>
      <w:color w:val="0F4761" w:themeColor="accent1" w:themeShade="BF"/>
    </w:rPr>
  </w:style>
  <w:style w:type="paragraph" w:styleId="IntenseQuote">
    <w:name w:val="Intense Quote"/>
    <w:basedOn w:val="Normal"/>
    <w:next w:val="Normal"/>
    <w:link w:val="IntenseQuoteChar"/>
    <w:uiPriority w:val="30"/>
    <w:qFormat/>
    <w:rsid w:val="004E4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5DD"/>
    <w:rPr>
      <w:i/>
      <w:iCs/>
      <w:color w:val="0F4761" w:themeColor="accent1" w:themeShade="BF"/>
    </w:rPr>
  </w:style>
  <w:style w:type="character" w:styleId="IntenseReference">
    <w:name w:val="Intense Reference"/>
    <w:basedOn w:val="DefaultParagraphFont"/>
    <w:uiPriority w:val="32"/>
    <w:qFormat/>
    <w:rsid w:val="004E45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1279</Words>
  <Characters>8432</Characters>
  <Application>Microsoft Office Word</Application>
  <DocSecurity>0</DocSecurity>
  <Lines>196</Lines>
  <Paragraphs>144</Paragraphs>
  <ScaleCrop>false</ScaleCrop>
  <Company>JnJ</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Narayanan, Arvinth [GTSUS]</dc:creator>
  <cp:keywords/>
  <dc:description/>
  <cp:lastModifiedBy>Narayanan, Arvinth [GTSUS]</cp:lastModifiedBy>
  <cp:revision>1</cp:revision>
  <dcterms:created xsi:type="dcterms:W3CDTF">2026-06-11T21:13:00Z</dcterms:created>
  <dcterms:modified xsi:type="dcterms:W3CDTF">2026-06-11T21:18:00Z</dcterms:modified>
</cp:coreProperties>
</file>