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 / AOS Checkpoint v0.2</w:t>
      </w:r>
    </w:p>
    <w:p>
      <w:r>
        <w:rPr>
          <w:b/>
        </w:rPr>
        <w:t xml:space="preserve">Checkpoint Scope: </w:t>
      </w:r>
      <w:r>
        <w:t>Reconstruction Sessions 013–016</w:t>
        <w:br/>
      </w:r>
    </w:p>
    <w:p>
      <w:pPr>
        <w:pStyle w:val="Heading2"/>
      </w:pPr>
      <w:r>
        <w:t>Status</w:t>
      </w:r>
    </w:p>
    <w:p>
      <w:r>
        <w:t>Architecture synthesized and advanced. The Archive Operating System (AOS) is now implemented as the governance layer. The Evidence-Centered Knowledge Architecture (ECKA) is recognized as the overarching methodology. The Archival Knowledge System (AKS) remains the canonical repository.</w:t>
      </w:r>
    </w:p>
    <w:p>
      <w:pPr>
        <w:pStyle w:val="Heading2"/>
      </w:pPr>
      <w:r>
        <w:t>New Components</w:t>
      </w:r>
    </w:p>
    <w:p>
      <w:r>
        <w:t>• AOS v1.0 governance</w:t>
        <w:br/>
        <w:t>• ECKA constitutional layer</w:t>
        <w:br/>
        <w:t>• Knowledge Services Layer</w:t>
        <w:br/>
        <w:t>• Canonical Query Language (conceptual)</w:t>
        <w:br/>
        <w:t>• Knowledge Maturity Register</w:t>
        <w:br/>
        <w:t>• Discovery Register</w:t>
        <w:br/>
        <w:t>• Stewardship Protocol</w:t>
        <w:br/>
        <w:t>• Meta-Knowledge Layer (MKL)</w:t>
        <w:br/>
        <w:t>• Knowledge Debt Register</w:t>
        <w:br/>
        <w:t>• Canonical Stability Index</w:t>
        <w:br/>
        <w:t>• Impact Analysis</w:t>
        <w:br/>
        <w:t>• Self-Audit Cycle</w:t>
      </w:r>
    </w:p>
    <w:p>
      <w:pPr>
        <w:pStyle w:val="Heading2"/>
      </w:pPr>
      <w:r>
        <w:t>Project State</w:t>
      </w:r>
    </w:p>
    <w:p>
      <w:r>
        <w:t>The handbook is now formally treated as a generated publication derived from canonical records rather than the primary repository. Historical sources, canonical registers, semantic relationships, governance, and publication generation are now distinct layers.</w:t>
      </w:r>
    </w:p>
    <w:p>
      <w:pPr>
        <w:pStyle w:val="Heading2"/>
      </w:pPr>
      <w:r>
        <w:t>Recommended Next Phase</w:t>
      </w:r>
    </w:p>
    <w:p>
      <w:r>
        <w:t>Implement the Reflective Intelligence Layer (RIL): periodic evidence-driven review that identifies gaps, recommends review priorities, and proposes publication regeneration without creating unsupported conclusions.</w:t>
      </w:r>
    </w:p>
    <w:p>
      <w:pPr>
        <w:pStyle w:val="Heading2"/>
      </w:pPr>
      <w:r>
        <w:t>Archive Health</w:t>
      </w:r>
    </w:p>
    <w:p>
      <w:r>
        <w:t>No conceptual conflicts introduced. Governance remains internally consistent. Provenance-first methodology preserved. Observation-before-interpretation remains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