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AKS Curation Protocol v0.1</w:t>
      </w:r>
    </w:p>
    <w:p>
      <w:pPr>
        <w:pStyle w:val="Heading2"/>
      </w:pPr>
      <w:r>
        <w:t>Purpose</w:t>
      </w:r>
    </w:p>
    <w:p>
      <w:r>
        <w:t>This protocol governs the transition from archaeological recovery to ongoing curation. Every new observation enters as raw evidence, is evaluated, linked, assigned provenance, and only then promoted into the canonical repository.</w:t>
      </w:r>
    </w:p>
    <w:p>
      <w:pPr>
        <w:pStyle w:val="Heading2"/>
      </w:pPr>
      <w:r>
        <w:t>Curation Checklist</w:t>
      </w:r>
    </w:p>
    <w:p>
      <w:r>
        <w:t>1. Verify source and provenance.</w:t>
      </w:r>
    </w:p>
    <w:p>
      <w:r>
        <w:t>2. Separate observation from interpretation.</w:t>
      </w:r>
    </w:p>
    <w:p>
      <w:r>
        <w:t>3. Link to existing observations if related.</w:t>
      </w:r>
    </w:p>
    <w:p>
      <w:r>
        <w:t>4. Create or update patterns only when supported by repeated evidence.</w:t>
      </w:r>
    </w:p>
    <w:p>
      <w:r>
        <w:t>5. Record strengths alongside challenges.</w:t>
      </w:r>
    </w:p>
    <w:p>
      <w:r>
        <w:t>6. Preserve uncertainty instead of forcing conclusions.</w:t>
      </w:r>
    </w:p>
    <w:p>
      <w:r>
        <w:t>7. Never overwrite historical evidence; supersede by addition.</w:t>
      </w:r>
    </w:p>
    <w:p>
      <w:pPr>
        <w:pStyle w:val="Heading2"/>
      </w:pPr>
      <w:r>
        <w:t>Repository Objective</w:t>
      </w:r>
    </w:p>
    <w:p>
      <w:r>
        <w:t>Maintain a single canonical knowledge base from which all handbook editions, summaries, reports, and future analyses are generated.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