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Handbook Foundation Package</w:t>
      </w:r>
    </w:p>
    <w:p>
      <w:pPr>
        <w:pStyle w:val="Heading2"/>
      </w:pPr>
      <w:r>
        <w:t>Project Charter</w:t>
      </w:r>
    </w:p>
    <w:p>
      <w:r>
        <w:t>Observation-driven handbook. Observation before interpretation. No diagnosis-first approach. Longitudinal updates and versioned checkpoints.</w:t>
      </w:r>
    </w:p>
    <w:p>
      <w:pPr>
        <w:pStyle w:val="Heading2"/>
      </w:pPr>
      <w:r>
        <w:t>Master Handbook Outline</w:t>
      </w:r>
    </w:p>
    <w:p>
      <w:r>
        <w:t>Vol I: Understanding the Child. Vol II: Interventions. Vol III: Reference Manual.</w:t>
      </w:r>
    </w:p>
    <w:p>
      <w:pPr>
        <w:pStyle w:val="Heading2"/>
      </w:pPr>
      <w:r>
        <w:t>Observation Database</w:t>
      </w:r>
    </w:p>
    <w:p>
      <w:r>
        <w:t>Organize observations by development, executive function, communication, sensory, social, play, sleep, daily living, strengths, growth. Current observation set extends through OBS-0015.</w:t>
      </w:r>
    </w:p>
    <w:p>
      <w:pPr>
        <w:pStyle w:val="Heading2"/>
      </w:pPr>
      <w:r>
        <w:t>Developmental Timeline</w:t>
      </w:r>
    </w:p>
    <w:p>
      <w:r>
        <w:t>Speech, walking, toilet training, reading, fine motor, sleep, sensory, social milestones.</w:t>
      </w:r>
    </w:p>
    <w:p>
      <w:pPr>
        <w:pStyle w:val="Heading2"/>
      </w:pPr>
      <w:r>
        <w:t>Writing Standards</w:t>
      </w:r>
    </w:p>
    <w:p>
      <w:r>
        <w:t>Separate observations from conclusions. Record strengths and growth. Running Questions at each chapter end. Maintain change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