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Preservation Principles v1.0</w:t>
      </w:r>
    </w:p>
    <w:p>
      <w:pPr>
        <w:pStyle w:val="Heading2"/>
      </w:pPr>
      <w:r>
        <w:t>Preservation Principles</w:t>
      </w:r>
    </w:p>
    <w:p>
      <w:pPr>
        <w:pStyle w:val="ListBullet"/>
      </w:pPr>
      <w:r>
        <w:t>PP-001 Every artifact that materially contributes to understanding should remain recoverable.</w:t>
      </w:r>
    </w:p>
    <w:p>
      <w:pPr>
        <w:pStyle w:val="ListBullet"/>
      </w:pPr>
      <w:r>
        <w:t>Archive first.</w:t>
      </w:r>
    </w:p>
    <w:p>
      <w:pPr>
        <w:pStyle w:val="ListBullet"/>
      </w:pPr>
      <w:r>
        <w:t>Reconcile second.</w:t>
      </w:r>
    </w:p>
    <w:p>
      <w:pPr>
        <w:pStyle w:val="ListBullet"/>
      </w:pPr>
      <w:r>
        <w:t>Publish third.</w:t>
      </w:r>
    </w:p>
    <w:p>
      <w:pPr>
        <w:pStyle w:val="ListBullet"/>
      </w:pPr>
      <w:r>
        <w:t>Knowledge can be reorganized later; lost knowledge cannot be recovered.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