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Provenance Standard v1.0</w:t>
      </w:r>
    </w:p>
    <w:p>
      <w:pPr>
        <w:pStyle w:val="Heading2"/>
      </w:pPr>
      <w:r>
        <w:t>Purpose</w:t>
      </w:r>
    </w:p>
    <w:p>
      <w:r>
        <w:t>Defines minimum provenance requirements.</w:t>
      </w:r>
    </w:p>
    <w:p>
      <w:pPr>
        <w:pStyle w:val="Heading2"/>
      </w:pPr>
      <w:r>
        <w:t>Locked Principles</w:t>
      </w:r>
    </w:p>
    <w:p>
      <w:pPr>
        <w:pStyle w:val="ListBullet"/>
      </w:pPr>
      <w:r>
        <w:t>Every claim links to supporting evidence.</w:t>
      </w:r>
    </w:p>
    <w:p>
      <w:pPr>
        <w:pStyle w:val="ListBullet"/>
      </w:pPr>
      <w:r>
        <w:t>Every synthesized conclusion identifies contributing observations.</w:t>
      </w:r>
    </w:p>
    <w:p>
      <w:pPr>
        <w:pStyle w:val="ListBullet"/>
      </w:pPr>
      <w:r>
        <w:t>Maintain source lineage across revisions.</w:t>
      </w:r>
    </w:p>
    <w:p>
      <w:pPr>
        <w:pStyle w:val="ListBullet"/>
      </w:pPr>
      <w:r>
        <w:t>Never remove provenance metadata.</w:t>
      </w:r>
    </w:p>
    <w:p>
      <w:pPr>
        <w:pStyle w:val="Heading2"/>
      </w:pPr>
      <w:r>
        <w:t>Amendment Rule</w:t>
      </w:r>
    </w:p>
    <w:p>
      <w:r>
        <w:t>This governing document is locked. Any revision requires a new version number, documented rationale, and preservation of prior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