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Doctrine v1.0</w:t>
      </w:r>
    </w:p>
    <w:p>
      <w:pPr>
        <w:pStyle w:val="Heading2"/>
      </w:pPr>
      <w:r>
        <w:t>Purpose</w:t>
      </w:r>
    </w:p>
    <w:p>
      <w:r>
        <w:t>Defines how publications are generated from the canonical archive.</w:t>
      </w:r>
    </w:p>
    <w:p>
      <w:pPr>
        <w:pStyle w:val="Heading2"/>
      </w:pPr>
      <w:r>
        <w:t>Locked Principles</w:t>
      </w:r>
    </w:p>
    <w:p>
      <w:pPr>
        <w:pStyle w:val="ListBullet"/>
      </w:pPr>
      <w:r>
        <w:t>Publications are derived artifacts.</w:t>
      </w:r>
    </w:p>
    <w:p>
      <w:pPr>
        <w:pStyle w:val="ListBullet"/>
      </w:pPr>
      <w:r>
        <w:t>Do not edit publications as primary sources.</w:t>
      </w:r>
    </w:p>
    <w:p>
      <w:pPr>
        <w:pStyle w:val="ListBullet"/>
      </w:pPr>
      <w:r>
        <w:t>Regenerate publications after significant archive changes.</w:t>
      </w:r>
    </w:p>
    <w:p>
      <w:pPr>
        <w:pStyle w:val="ListBullet"/>
      </w:pPr>
      <w:r>
        <w:t>Every publication records its source checkpoint.</w:t>
      </w:r>
    </w:p>
    <w:p>
      <w:pPr>
        <w:pStyle w:val="Heading2"/>
      </w:pPr>
      <w:r>
        <w:t>Amendment Rule</w:t>
      </w:r>
    </w:p>
    <w:p>
      <w:r>
        <w:t>This governing document is locked. Any revision requires a new version number, documented rationale, and preservation of prior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