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Reconciliation Doctrine v1.0</w:t>
      </w:r>
    </w:p>
    <w:p>
      <w:pPr>
        <w:pStyle w:val="Heading2"/>
      </w:pPr>
      <w:r>
        <w:t>Purpose</w:t>
      </w:r>
    </w:p>
    <w:p>
      <w:r>
        <w:t>Defines how information is merged without losing historical evidence.</w:t>
      </w:r>
    </w:p>
    <w:p>
      <w:pPr>
        <w:pStyle w:val="Heading2"/>
      </w:pPr>
      <w:r>
        <w:t>Locked Principles</w:t>
      </w:r>
    </w:p>
    <w:p>
      <w:pPr>
        <w:pStyle w:val="ListBullet"/>
      </w:pPr>
      <w:r>
        <w:t>Never overwrite original evidence.</w:t>
      </w:r>
    </w:p>
    <w:p>
      <w:pPr>
        <w:pStyle w:val="ListBullet"/>
      </w:pPr>
      <w:r>
        <w:t>Record conflicts explicitly.</w:t>
      </w:r>
    </w:p>
    <w:p>
      <w:pPr>
        <w:pStyle w:val="ListBullet"/>
      </w:pPr>
      <w:r>
        <w:t>Prefer linking over merging when uncertainty exists.</w:t>
      </w:r>
    </w:p>
    <w:p>
      <w:pPr>
        <w:pStyle w:val="ListBullet"/>
      </w:pPr>
      <w:r>
        <w:t>Every reconciliation decision should be auditable.</w:t>
      </w:r>
    </w:p>
    <w:p>
      <w:pPr>
        <w:pStyle w:val="ListBullet"/>
      </w:pPr>
      <w:r>
        <w:t>Retain superseded records with provenance.</w:t>
      </w:r>
    </w:p>
    <w:p>
      <w:pPr>
        <w:pStyle w:val="Heading2"/>
      </w:pPr>
      <w:r>
        <w:t>Amendment Rule</w:t>
      </w:r>
    </w:p>
    <w:p>
      <w:r>
        <w:t>This governing document is locked. Any revision requires a new version number, documented rationale, and preservation of prior versions.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