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Standing Orders v1.0</w:t>
      </w:r>
    </w:p>
    <w:p>
      <w:pPr>
        <w:pStyle w:val="Heading2"/>
      </w:pPr>
      <w:r>
        <w:t>Standing Orders</w:t>
      </w:r>
    </w:p>
    <w:p>
      <w:pPr>
        <w:pStyle w:val="ListBullet"/>
      </w:pPr>
      <w:r>
        <w:t>SO-001 Preserve Everything</w:t>
      </w:r>
    </w:p>
    <w:p>
      <w:pPr>
        <w:pStyle w:val="ListBullet"/>
      </w:pPr>
      <w:r>
        <w:t>SO-002 Provenance Before Elegance</w:t>
      </w:r>
    </w:p>
    <w:p>
      <w:pPr>
        <w:pStyle w:val="ListBullet"/>
      </w:pPr>
      <w:r>
        <w:t>SO-003 Regenerate Rather Than Edit</w:t>
      </w:r>
    </w:p>
    <w:p>
      <w:pPr>
        <w:pStyle w:val="ListBullet"/>
      </w:pPr>
      <w:r>
        <w:t>SO-004 Reconciliation Is Auditable</w:t>
      </w:r>
    </w:p>
    <w:p>
      <w:pPr>
        <w:pStyle w:val="ListBullet"/>
      </w:pPr>
      <w:r>
        <w:t>SO-005 No Silent Information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