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You've answered almost everything I'd consider high priority. Before I would call the clinician report "complete," there are only a handful of areas I'd still like to 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Attention: Outside of screens, books, and chess, does he ever become deeply absorbed in another activity? If so, what is it?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No. Attempts at bending the rules. He's relentless.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Sleep: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Besides the possible benefit from quiet FM jazz/classical radio, what is a typical night like?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 sleeps the whole night through, usually. Semi restless, sleeps with eyes wide open, then partially, then closed.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How long does it take him to fall asleep?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Hour on average.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Does he wake during the night?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Sometimes for the bathroom.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Does he seem rested in the morning?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the most part. But he doesn't have school, so he's not grumpy.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School: What do his teachers consistently say are his biggest strengths and biggest concerns?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Disruptive. He's behind.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Motor skills: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he ride a bicycle?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scissors?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Catch or throw a ball appropriately for his age?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Handwriting?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Atrocious but very incrementally improving with tons of work.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Emotional regulation: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he becomes dysregulated, what helps him recover most reliably—time alone, talking with a trusted adult, physical comfort, a quiet environment, distraction, or something else?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Distraction. Play. Something like dinner. Right after dinner is shower, bed, mom story time, hell probably read, and then sleep.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