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AKS Governing Constitution v1.0</w:t>
      </w:r>
    </w:p>
    <w:p>
      <w:pPr>
        <w:pStyle w:val="Heading2"/>
      </w:pPr>
      <w:r>
        <w:t>Purpose</w:t>
      </w:r>
    </w:p>
    <w:p>
      <w:r>
        <w:t>Defines the permanent constitutional principles of the Archival Knowledge System.</w:t>
      </w:r>
    </w:p>
    <w:p>
      <w:pPr>
        <w:pStyle w:val="Heading2"/>
      </w:pPr>
      <w:r>
        <w:t>Constitutional Principles</w:t>
      </w:r>
    </w:p>
    <w:p>
      <w:pPr>
        <w:pStyle w:val="ListBullet"/>
      </w:pPr>
      <w:r>
        <w:t>Observation before interpretation.</w:t>
      </w:r>
    </w:p>
    <w:p>
      <w:pPr>
        <w:pStyle w:val="ListBullet"/>
      </w:pPr>
      <w:r>
        <w:t>No diagnosis-first approach.</w:t>
      </w:r>
    </w:p>
    <w:p>
      <w:pPr>
        <w:pStyle w:val="ListBullet"/>
      </w:pPr>
      <w:r>
        <w:t>Preserve every meaningful artifact.</w:t>
      </w:r>
    </w:p>
    <w:p>
      <w:pPr>
        <w:pStyle w:val="ListBullet"/>
      </w:pPr>
      <w:r>
        <w:t>Never silently discard information.</w:t>
      </w:r>
    </w:p>
    <w:p>
      <w:pPr>
        <w:pStyle w:val="ListBullet"/>
      </w:pPr>
      <w:r>
        <w:t>Longitudinal evidence over isolated events.</w:t>
      </w:r>
    </w:p>
    <w:p>
      <w:pPr>
        <w:pStyle w:val="ListBullet"/>
      </w:pPr>
      <w:r>
        <w:t>Publications are generated from canonical evidence.</w:t>
      </w:r>
    </w:p>
    <w:p>
      <w:pPr>
        <w:pStyle w:val="ListBullet"/>
      </w:pPr>
      <w:r>
        <w:t>Preserve provenance for every major conclusion.</w:t>
      </w:r>
    </w:p>
    <w:p>
      <w:pPr>
        <w:pStyle w:val="ListBullet"/>
      </w:pPr>
      <w:r>
        <w:t>Prefer reversible reconciliation over irreversible cleanup.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