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0"/>
        <w:rPr/>
      </w:pPr>
      <w:r>
        <w:rPr/>
      </w:r>
    </w:p>
    <w:p>
      <w:pPr>
        <w:pStyle w:val="Normal"/>
        <w:spacing w:before="0" w:after="200"/>
        <w:rPr/>
      </w:pPr>
      <w:r>
        <w:rPr>
          <w:rFonts w:eastAsia="Calibri" w:cs="Calibri"/>
          <w:b/>
          <w:bCs/>
          <w:color w:val="2E75B6"/>
          <w:sz w:val="26"/>
          <w:szCs w:val="26"/>
        </w:rPr>
        <w:t>BRAC IT SERVICES LTD</w:t>
      </w:r>
    </w:p>
    <w:p>
      <w:pPr>
        <w:pStyle w:val="Normal"/>
        <w:spacing w:before="0" w:after="80"/>
        <w:rPr/>
      </w:pPr>
      <w:r>
        <w:rPr>
          <w:rFonts w:eastAsia="Calibri" w:cs="Calibri"/>
          <w:b/>
          <w:bCs/>
          <w:color w:val="1F3864"/>
          <w:sz w:val="52"/>
          <w:szCs w:val="52"/>
        </w:rPr>
        <w:t>Mobile Financial Services (MFS) Platform</w:t>
      </w:r>
    </w:p>
    <w:p>
      <w:pPr>
        <w:pStyle w:val="Normal"/>
        <w:spacing w:before="0" w:after="400"/>
        <w:rPr/>
      </w:pPr>
      <w:r>
        <w:rPr>
          <w:rFonts w:eastAsia="Calibri" w:cs="Calibri"/>
          <w:b/>
          <w:bCs/>
          <w:color w:val="1F3864"/>
          <w:sz w:val="40"/>
          <w:szCs w:val="40"/>
        </w:rPr>
        <w:t>“Bits Pay”</w:t>
      </w:r>
    </w:p>
    <w:p>
      <w:pPr>
        <w:pStyle w:val="Normal"/>
        <w:pBdr>
          <w:bottom w:val="single" w:sz="12" w:space="4" w:color="2E75B6"/>
        </w:pBdr>
        <w:spacing w:before="0" w:after="300"/>
        <w:rPr/>
      </w:pPr>
      <w:r>
        <w:rPr/>
      </w:r>
    </w:p>
    <w:p>
      <w:pPr>
        <w:pStyle w:val="Normal"/>
        <w:spacing w:before="0" w:after="120"/>
        <w:rPr/>
      </w:pPr>
      <w:r>
        <w:rPr>
          <w:rFonts w:eastAsia="Calibri" w:cs="Calibri"/>
          <w:color w:val="404040"/>
          <w:sz w:val="34"/>
          <w:szCs w:val="34"/>
        </w:rPr>
        <w:t>Software Requirements Specification (SRS)</w:t>
      </w:r>
    </w:p>
    <w:p>
      <w:pPr>
        <w:pStyle w:val="Normal"/>
        <w:spacing w:before="0" w:after="1400"/>
        <w:rPr/>
      </w:pPr>
      <w:r>
        <w:rPr>
          <w:rFonts w:eastAsia="Calibri" w:cs="Calibri"/>
          <w:i/>
          <w:iCs/>
          <w:color w:val="595959"/>
          <w:sz w:val="24"/>
          <w:szCs w:val="24"/>
        </w:rPr>
        <w:t>Requirements Baseline for Implementation</w:t>
      </w:r>
    </w:p>
    <w:tbl>
      <w:tblPr>
        <w:tblW w:w="9746" w:type="dxa"/>
        <w:jc w:val="left"/>
        <w:tblInd w:w="0" w:type="dxa"/>
        <w:tblLayout w:type="fixed"/>
        <w:tblCellMar>
          <w:top w:w="50" w:type="dxa"/>
          <w:left w:w="90" w:type="dxa"/>
          <w:bottom w:w="50" w:type="dxa"/>
          <w:right w:w="90" w:type="dxa"/>
        </w:tblCellMar>
      </w:tblPr>
      <w:tblGrid>
        <w:gridCol w:w="2800"/>
        <w:gridCol w:w="6945"/>
      </w:tblGrid>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Document reference</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BITSPAY-SRS-001</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Product owner</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Prepared by</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 — Business Analysis</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Document version</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1.1 — Draft for Review</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Date</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14 October 2026</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Status</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Draft — for review (see Appendices A &amp; B)</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Classification</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Confidential</w:t>
            </w:r>
          </w:p>
        </w:tc>
      </w:tr>
    </w:tbl>
    <w:p>
      <w:pPr>
        <w:sectPr>
          <w:headerReference w:type="default" r:id="rId8"/>
          <w:footerReference w:type="default" r:id="rId9"/>
          <w:headerReference w:type="first" r:id="rId10"/>
          <w:headerReference w:type="even" r:id="rId11"/>
          <w:type w:val="nextPage"/>
          <w:pgSz w:w="11906" w:h="16838"/>
          <w:pgMar w:left="1080" w:right="1080" w:gutter="0" w:header="0" w:top="1080" w:footer="0" w:bottom="1080"/>
          <w:pgNumType w:fmt="decimal"/>
          <w:formProt w:val="false"/>
          <w:textDirection w:val="lrTb"/>
          <w:docGrid w:type="default" w:linePitch="360" w:charSpace="8192"/>
        </w:sectPr>
        <w:pStyle w:val="Normal"/>
        <w:rPr/>
      </w:pPr>
      <w:r>
        <w:rPr/>
      </w:r>
      <w:r>
        <w:br w:type="page"/>
      </w:r>
    </w:p>
    <w:p>
      <w:pPr>
        <w:pStyle w:val="Heading1"/>
        <w:rPr/>
      </w:pPr>
      <w:bookmarkStart w:id="0" w:name="__RefHeading___Toc12917_2869911984"/>
      <w:bookmarkEnd w:id="0"/>
      <w:r>
        <w:rPr/>
        <w:t>Document Control</w:t>
      </w:r>
    </w:p>
    <w:p>
      <w:pPr>
        <w:pStyle w:val="Heading2"/>
        <w:rPr/>
      </w:pPr>
      <w:bookmarkStart w:id="1" w:name="__RefHeading___Toc12919_2869911984"/>
      <w:bookmarkEnd w:id="1"/>
      <w:r>
        <w:rPr/>
        <w:t>Revision History</w:t>
      </w:r>
    </w:p>
    <w:tbl>
      <w:tblPr>
        <w:tblW w:w="9746" w:type="dxa"/>
        <w:jc w:val="left"/>
        <w:tblInd w:w="0" w:type="dxa"/>
        <w:tblLayout w:type="fixed"/>
        <w:tblCellMar>
          <w:top w:w="50" w:type="dxa"/>
          <w:left w:w="90" w:type="dxa"/>
          <w:bottom w:w="50" w:type="dxa"/>
          <w:right w:w="90" w:type="dxa"/>
        </w:tblCellMar>
      </w:tblPr>
      <w:tblGrid>
        <w:gridCol w:w="785"/>
        <w:gridCol w:w="968"/>
        <w:gridCol w:w="2372"/>
        <w:gridCol w:w="5620"/>
      </w:tblGrid>
      <w:tr>
        <w:trPr>
          <w:tblHeader w:val="true"/>
        </w:trPr>
        <w:tc>
          <w:tcPr>
            <w:tcW w:w="78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Version</w:t>
            </w:r>
          </w:p>
        </w:tc>
        <w:tc>
          <w:tcPr>
            <w:tcW w:w="96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Date</w:t>
            </w:r>
          </w:p>
        </w:tc>
        <w:tc>
          <w:tcPr>
            <w:tcW w:w="2372"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Author</w:t>
            </w:r>
          </w:p>
        </w:tc>
        <w:tc>
          <w:tcPr>
            <w:tcW w:w="562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0.1</w:t>
            </w:r>
          </w:p>
        </w:tc>
        <w:tc>
          <w:tcPr>
            <w:tcW w:w="9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09 Oct 2026</w:t>
            </w:r>
          </w:p>
        </w:tc>
        <w:tc>
          <w:tcPr>
            <w:tcW w:w="237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 Business Analysis</w:t>
            </w:r>
          </w:p>
        </w:tc>
        <w:tc>
          <w:tcPr>
            <w:tcW w:w="562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Initial standard-MFS draft derived from BRAC IT's digital wallet SRS baseline, with microfinance scope removed</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1.0</w:t>
            </w:r>
          </w:p>
        </w:tc>
        <w:tc>
          <w:tcPr>
            <w:tcW w:w="9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09 Oct 2026</w:t>
            </w:r>
          </w:p>
        </w:tc>
        <w:tc>
          <w:tcPr>
            <w:tcW w:w="23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 Business Analysis</w:t>
            </w:r>
          </w:p>
        </w:tc>
        <w:tc>
          <w:tcPr>
            <w:tcW w:w="562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Draft for review, aligned with the Bits Pay Platform Architecture and Data Flow (08 Oct 2026)</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1.1</w:t>
            </w:r>
          </w:p>
        </w:tc>
        <w:tc>
          <w:tcPr>
            <w:tcW w:w="9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14 Oct 2026</w:t>
            </w:r>
          </w:p>
        </w:tc>
        <w:tc>
          <w:tcPr>
            <w:tcW w:w="23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BRAC IT — Business Analysis</w:t>
            </w:r>
          </w:p>
        </w:tc>
        <w:tc>
          <w:tcPr>
            <w:tcW w:w="562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Adopted the General Ledger service (SVC-16): new module 4.34 General Ledger &amp; Accounting (GLD-001 – GLD-034), REC-012 GL tie-out, PER-014, UC-13, GL data entities, updated LED-013/014, BOM-006/007, REL-002, INT-01, A-37, B-08 and new A-39/A-40, B-18 – B-23; aligned with the Bits Pay Platform Architecture and Data Flow v3 (14 Oct 2026)</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1.x</w:t>
            </w:r>
          </w:p>
        </w:tc>
        <w:tc>
          <w:tcPr>
            <w:tcW w:w="9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TBD</w:t>
            </w:r>
          </w:p>
        </w:tc>
        <w:tc>
          <w:tcPr>
            <w:tcW w:w="237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 Operator</w:t>
            </w:r>
          </w:p>
        </w:tc>
        <w:tc>
          <w:tcPr>
            <w:tcW w:w="562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Incorporation of review comments and Appendix B decisions</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2.0</w:t>
            </w:r>
          </w:p>
        </w:tc>
        <w:tc>
          <w:tcPr>
            <w:tcW w:w="9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TBD</w:t>
            </w:r>
          </w:p>
        </w:tc>
        <w:tc>
          <w:tcPr>
            <w:tcW w:w="23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 Operator</w:t>
            </w:r>
          </w:p>
        </w:tc>
        <w:tc>
          <w:tcPr>
            <w:tcW w:w="562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Baselined version upon sign-off (Appendix E)</w:t>
            </w:r>
          </w:p>
        </w:tc>
      </w:tr>
    </w:tbl>
    <w:p>
      <w:pPr>
        <w:pStyle w:val="Normal"/>
        <w:spacing w:before="0" w:after="120"/>
        <w:rPr/>
      </w:pPr>
      <w:r>
        <w:rPr/>
      </w:r>
    </w:p>
    <w:p>
      <w:pPr>
        <w:pStyle w:val="Heading2"/>
        <w:rPr/>
      </w:pPr>
      <w:bookmarkStart w:id="2" w:name="__RefHeading___Toc12921_2869911984"/>
      <w:bookmarkEnd w:id="2"/>
      <w:r>
        <w:rPr/>
        <w:t>Distribution</w:t>
      </w:r>
    </w:p>
    <w:tbl>
      <w:tblPr>
        <w:tblW w:w="9746" w:type="dxa"/>
        <w:jc w:val="left"/>
        <w:tblInd w:w="0" w:type="dxa"/>
        <w:tblLayout w:type="fixed"/>
        <w:tblCellMar>
          <w:top w:w="50" w:type="dxa"/>
          <w:left w:w="90" w:type="dxa"/>
          <w:bottom w:w="50" w:type="dxa"/>
          <w:right w:w="90" w:type="dxa"/>
        </w:tblCellMar>
      </w:tblPr>
      <w:tblGrid>
        <w:gridCol w:w="4554"/>
        <w:gridCol w:w="2276"/>
        <w:gridCol w:w="2916"/>
      </w:tblGrid>
      <w:tr>
        <w:trPr>
          <w:tblHeader w:val="true"/>
        </w:trPr>
        <w:tc>
          <w:tcPr>
            <w:tcW w:w="455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Name / Role</w:t>
            </w:r>
          </w:p>
        </w:tc>
        <w:tc>
          <w:tcPr>
            <w:tcW w:w="227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Organisation</w:t>
            </w:r>
          </w:p>
        </w:tc>
        <w:tc>
          <w:tcPr>
            <w:tcW w:w="291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Purpose</w:t>
            </w:r>
          </w:p>
        </w:tc>
      </w:tr>
      <w:tr>
        <w:trPr>
          <w:cantSplit w:val="true"/>
        </w:trPr>
        <w:tc>
          <w:tcPr>
            <w:tcW w:w="455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 Owner / Sponsor</w:t>
            </w:r>
          </w:p>
        </w:tc>
        <w:tc>
          <w:tcPr>
            <w:tcW w:w="227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291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Approval</w:t>
            </w:r>
          </w:p>
        </w:tc>
      </w:tr>
      <w:tr>
        <w:trPr>
          <w:cantSplit w:val="true"/>
        </w:trPr>
        <w:tc>
          <w:tcPr>
            <w:tcW w:w="455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Compliance, CISO, Finance, Operations leads</w:t>
            </w:r>
          </w:p>
        </w:tc>
        <w:tc>
          <w:tcPr>
            <w:tcW w:w="227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(licensed MFS provider)</w:t>
            </w:r>
          </w:p>
        </w:tc>
        <w:tc>
          <w:tcPr>
            <w:tcW w:w="291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Review and approval</w:t>
            </w:r>
          </w:p>
        </w:tc>
      </w:tr>
      <w:tr>
        <w:trPr>
          <w:cantSplit w:val="true"/>
        </w:trPr>
        <w:tc>
          <w:tcPr>
            <w:tcW w:w="455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Project Director, Solution Architect, BA, QA leads</w:t>
            </w:r>
          </w:p>
        </w:tc>
        <w:tc>
          <w:tcPr>
            <w:tcW w:w="227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291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Review, design and test baseline</w:t>
            </w:r>
          </w:p>
        </w:tc>
      </w:tr>
    </w:tbl>
    <w:p>
      <w:pPr>
        <w:pStyle w:val="Normal"/>
        <w:spacing w:before="0" w:after="120"/>
        <w:rPr/>
      </w:pPr>
      <w:r>
        <w:rPr/>
      </w:r>
    </w:p>
    <w:p>
      <w:pPr>
        <w:pStyle w:val="Heading2"/>
        <w:rPr/>
      </w:pPr>
      <w:bookmarkStart w:id="3" w:name="__RefHeading___Toc12923_2869911984"/>
      <w:bookmarkEnd w:id="3"/>
      <w:r>
        <w:rPr/>
        <w:t>Requirement Statistics</w:t>
      </w:r>
    </w:p>
    <w:tbl>
      <w:tblPr>
        <w:tblW w:w="9746" w:type="dxa"/>
        <w:jc w:val="left"/>
        <w:tblInd w:w="0" w:type="dxa"/>
        <w:tblLayout w:type="fixed"/>
        <w:tblCellMar>
          <w:top w:w="50" w:type="dxa"/>
          <w:left w:w="90" w:type="dxa"/>
          <w:bottom w:w="50" w:type="dxa"/>
          <w:right w:w="90" w:type="dxa"/>
        </w:tblCellMar>
      </w:tblPr>
      <w:tblGrid>
        <w:gridCol w:w="8756"/>
        <w:gridCol w:w="989"/>
      </w:tblGrid>
      <w:tr>
        <w:trPr>
          <w:tblHeader w:val="true"/>
        </w:trPr>
        <w:tc>
          <w:tcPr>
            <w:tcW w:w="875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Area</w:t>
            </w:r>
          </w:p>
        </w:tc>
        <w:tc>
          <w:tcPr>
            <w:tcW w:w="98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Count</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Functional requirements (Section 4, 34 modules)</w:t>
            </w:r>
          </w:p>
        </w:tc>
        <w:tc>
          <w:tcPr>
            <w:tcW w:w="98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385</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Non-functional requirements (Section 7)</w:t>
            </w:r>
          </w:p>
        </w:tc>
        <w:tc>
          <w:tcPr>
            <w:tcW w:w="9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86</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Interface, data and transition requirements (Sections 6, 8, 9)</w:t>
            </w:r>
          </w:p>
        </w:tc>
        <w:tc>
          <w:tcPr>
            <w:tcW w:w="98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80</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Total uniquely identified requirements</w:t>
            </w:r>
          </w:p>
        </w:tc>
        <w:tc>
          <w:tcPr>
            <w:tcW w:w="9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551</w:t>
            </w:r>
          </w:p>
        </w:tc>
      </w:tr>
    </w:tbl>
    <w:p>
      <w:pPr>
        <w:pStyle w:val="Normal"/>
        <w:spacing w:before="0" w:after="120"/>
        <w:rPr/>
      </w:pPr>
      <w:r>
        <w:rPr/>
      </w:r>
    </w:p>
    <w:p>
      <w:pPr>
        <w:pStyle w:val="Normal"/>
        <w:rPr/>
      </w:pPr>
      <w:r>
        <w:rPr/>
      </w:r>
      <w:r>
        <w:br w:type="page"/>
      </w:r>
    </w:p>
    <w:p>
      <w:pPr>
        <w:pStyle w:val="Heading1"/>
        <w:spacing w:before="0" w:after="160"/>
        <w:rPr/>
      </w:pPr>
      <w:bookmarkStart w:id="4" w:name="__RefHeading___Toc12925_2869911984"/>
      <w:bookmarkEnd w:id="4"/>
      <w:r>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IndexLink"/>
            </w:rPr>
            <w:instrText xml:space="preserve"> TOC \o "1-2" \h</w:instrText>
          </w:r>
          <w:r>
            <w:rPr>
              <w:rStyle w:val="IndexLink"/>
            </w:rPr>
            <w:fldChar w:fldCharType="separate"/>
          </w:r>
          <w:hyperlink w:anchor="__RefHeading___Toc12917_2869911984">
            <w:r>
              <w:rPr>
                <w:rStyle w:val="IndexLink"/>
              </w:rPr>
              <w:t>Document Control</w:t>
              <w:tab/>
              <w:t>2</w:t>
            </w:r>
          </w:hyperlink>
        </w:p>
        <w:p>
          <w:pPr>
            <w:pStyle w:val="TOC2"/>
            <w:tabs>
              <w:tab w:val="clear" w:pos="9463"/>
              <w:tab w:val="right" w:pos="9745" w:leader="dot"/>
            </w:tabs>
            <w:rPr/>
          </w:pPr>
          <w:hyperlink w:anchor="__RefHeading___Toc12919_2869911984">
            <w:r>
              <w:rPr>
                <w:rStyle w:val="IndexLink"/>
              </w:rPr>
              <w:t>Revision History</w:t>
              <w:tab/>
              <w:t>2</w:t>
            </w:r>
          </w:hyperlink>
        </w:p>
        <w:p>
          <w:pPr>
            <w:pStyle w:val="TOC2"/>
            <w:tabs>
              <w:tab w:val="clear" w:pos="9463"/>
              <w:tab w:val="right" w:pos="9745" w:leader="dot"/>
            </w:tabs>
            <w:rPr/>
          </w:pPr>
          <w:hyperlink w:anchor="__RefHeading___Toc12921_2869911984">
            <w:r>
              <w:rPr>
                <w:rStyle w:val="IndexLink"/>
              </w:rPr>
              <w:t>Distribution</w:t>
              <w:tab/>
              <w:t>2</w:t>
            </w:r>
          </w:hyperlink>
        </w:p>
        <w:p>
          <w:pPr>
            <w:pStyle w:val="TOC2"/>
            <w:tabs>
              <w:tab w:val="clear" w:pos="9463"/>
              <w:tab w:val="right" w:pos="9745" w:leader="dot"/>
            </w:tabs>
            <w:rPr/>
          </w:pPr>
          <w:hyperlink w:anchor="__RefHeading___Toc12923_2869911984">
            <w:r>
              <w:rPr>
                <w:rStyle w:val="IndexLink"/>
              </w:rPr>
              <w:t>Requirement Statistics</w:t>
              <w:tab/>
              <w:t>2</w:t>
            </w:r>
          </w:hyperlink>
        </w:p>
        <w:p>
          <w:pPr>
            <w:pStyle w:val="TOC1"/>
            <w:tabs>
              <w:tab w:val="clear" w:pos="9746"/>
              <w:tab w:val="right" w:pos="9745" w:leader="dot"/>
            </w:tabs>
            <w:rPr/>
          </w:pPr>
          <w:hyperlink w:anchor="__RefHeading___Toc12925_2869911984">
            <w:r>
              <w:rPr>
                <w:rStyle w:val="IndexLink"/>
              </w:rPr>
              <w:t>Table of Contents</w:t>
              <w:tab/>
              <w:t>3</w:t>
            </w:r>
          </w:hyperlink>
        </w:p>
        <w:p>
          <w:pPr>
            <w:pStyle w:val="TOC1"/>
            <w:tabs>
              <w:tab w:val="clear" w:pos="9746"/>
              <w:tab w:val="right" w:pos="9745" w:leader="dot"/>
            </w:tabs>
            <w:rPr/>
          </w:pPr>
          <w:hyperlink w:anchor="__RefHeading___Toc12927_2869911984">
            <w:r>
              <w:rPr>
                <w:rStyle w:val="IndexLink"/>
              </w:rPr>
              <w:t>1. Introduction</w:t>
              <w:tab/>
              <w:t>5</w:t>
            </w:r>
          </w:hyperlink>
        </w:p>
        <w:p>
          <w:pPr>
            <w:pStyle w:val="TOC2"/>
            <w:tabs>
              <w:tab w:val="clear" w:pos="9463"/>
              <w:tab w:val="right" w:pos="9745" w:leader="dot"/>
            </w:tabs>
            <w:rPr/>
          </w:pPr>
          <w:hyperlink w:anchor="__RefHeading___Toc12929_2869911984">
            <w:r>
              <w:rPr>
                <w:rStyle w:val="IndexLink"/>
              </w:rPr>
              <w:t>1.1 Purpose</w:t>
              <w:tab/>
              <w:t>5</w:t>
            </w:r>
          </w:hyperlink>
        </w:p>
        <w:p>
          <w:pPr>
            <w:pStyle w:val="TOC2"/>
            <w:tabs>
              <w:tab w:val="clear" w:pos="9463"/>
              <w:tab w:val="right" w:pos="9745" w:leader="dot"/>
            </w:tabs>
            <w:rPr/>
          </w:pPr>
          <w:hyperlink w:anchor="__RefHeading___Toc12931_2869911984">
            <w:r>
              <w:rPr>
                <w:rStyle w:val="IndexLink"/>
              </w:rPr>
              <w:t>1.2 Scope</w:t>
              <w:tab/>
              <w:t>5</w:t>
            </w:r>
          </w:hyperlink>
        </w:p>
        <w:p>
          <w:pPr>
            <w:pStyle w:val="TOC2"/>
            <w:tabs>
              <w:tab w:val="clear" w:pos="9463"/>
              <w:tab w:val="right" w:pos="9745" w:leader="dot"/>
            </w:tabs>
            <w:rPr/>
          </w:pPr>
          <w:hyperlink w:anchor="__RefHeading___Toc12933_2869911984">
            <w:r>
              <w:rPr>
                <w:rStyle w:val="IndexLink"/>
              </w:rPr>
              <w:t>1.3 Intended Audience</w:t>
              <w:tab/>
              <w:t>5</w:t>
            </w:r>
          </w:hyperlink>
        </w:p>
        <w:p>
          <w:pPr>
            <w:pStyle w:val="TOC2"/>
            <w:tabs>
              <w:tab w:val="clear" w:pos="9463"/>
              <w:tab w:val="right" w:pos="9745" w:leader="dot"/>
            </w:tabs>
            <w:rPr/>
          </w:pPr>
          <w:hyperlink w:anchor="__RefHeading___Toc12935_2869911984">
            <w:r>
              <w:rPr>
                <w:rStyle w:val="IndexLink"/>
              </w:rPr>
              <w:t>1.4 Definitions, Acronyms and Abbreviations</w:t>
              <w:tab/>
              <w:t>5</w:t>
            </w:r>
          </w:hyperlink>
        </w:p>
        <w:p>
          <w:pPr>
            <w:pStyle w:val="TOC2"/>
            <w:tabs>
              <w:tab w:val="clear" w:pos="9463"/>
              <w:tab w:val="right" w:pos="9745" w:leader="dot"/>
            </w:tabs>
            <w:rPr/>
          </w:pPr>
          <w:hyperlink w:anchor="__RefHeading___Toc12937_2869911984">
            <w:r>
              <w:rPr>
                <w:rStyle w:val="IndexLink"/>
              </w:rPr>
              <w:t>1.5 References</w:t>
              <w:tab/>
              <w:t>6</w:t>
            </w:r>
          </w:hyperlink>
        </w:p>
        <w:p>
          <w:pPr>
            <w:pStyle w:val="TOC2"/>
            <w:tabs>
              <w:tab w:val="clear" w:pos="9463"/>
              <w:tab w:val="right" w:pos="9745" w:leader="dot"/>
            </w:tabs>
            <w:rPr/>
          </w:pPr>
          <w:hyperlink w:anchor="__RefHeading___Toc12939_2869911984">
            <w:r>
              <w:rPr>
                <w:rStyle w:val="IndexLink"/>
              </w:rPr>
              <w:t>1.6 Document Conventions</w:t>
              <w:tab/>
              <w:t>7</w:t>
            </w:r>
          </w:hyperlink>
        </w:p>
        <w:p>
          <w:pPr>
            <w:pStyle w:val="TOC2"/>
            <w:tabs>
              <w:tab w:val="clear" w:pos="9463"/>
              <w:tab w:val="right" w:pos="9745" w:leader="dot"/>
            </w:tabs>
            <w:rPr/>
          </w:pPr>
          <w:hyperlink w:anchor="__RefHeading___Toc12941_2869911984">
            <w:r>
              <w:rPr>
                <w:rStyle w:val="IndexLink"/>
              </w:rPr>
              <w:t>1.7 Document Overview</w:t>
              <w:tab/>
              <w:t>7</w:t>
            </w:r>
          </w:hyperlink>
        </w:p>
        <w:p>
          <w:pPr>
            <w:pStyle w:val="TOC1"/>
            <w:tabs>
              <w:tab w:val="clear" w:pos="9746"/>
              <w:tab w:val="right" w:pos="9745" w:leader="dot"/>
            </w:tabs>
            <w:rPr/>
          </w:pPr>
          <w:hyperlink w:anchor="__RefHeading___Toc12943_2869911984">
            <w:r>
              <w:rPr>
                <w:rStyle w:val="IndexLink"/>
              </w:rPr>
              <w:t>2. Overall Description</w:t>
              <w:tab/>
              <w:t>9</w:t>
            </w:r>
          </w:hyperlink>
        </w:p>
        <w:p>
          <w:pPr>
            <w:pStyle w:val="TOC2"/>
            <w:tabs>
              <w:tab w:val="clear" w:pos="9463"/>
              <w:tab w:val="right" w:pos="9745" w:leader="dot"/>
            </w:tabs>
            <w:rPr/>
          </w:pPr>
          <w:hyperlink w:anchor="__RefHeading___Toc12945_2869911984">
            <w:r>
              <w:rPr>
                <w:rStyle w:val="IndexLink"/>
              </w:rPr>
              <w:t>2.1 Product Perspective</w:t>
              <w:tab/>
              <w:t>9</w:t>
            </w:r>
          </w:hyperlink>
        </w:p>
        <w:p>
          <w:pPr>
            <w:pStyle w:val="TOC2"/>
            <w:tabs>
              <w:tab w:val="clear" w:pos="9463"/>
              <w:tab w:val="right" w:pos="9745" w:leader="dot"/>
            </w:tabs>
            <w:rPr/>
          </w:pPr>
          <w:hyperlink w:anchor="__RefHeading___Toc12947_2869911984">
            <w:r>
              <w:rPr>
                <w:rStyle w:val="IndexLink"/>
              </w:rPr>
              <w:t>2.2 Business Objectives</w:t>
              <w:tab/>
              <w:t>10</w:t>
            </w:r>
          </w:hyperlink>
        </w:p>
        <w:p>
          <w:pPr>
            <w:pStyle w:val="TOC2"/>
            <w:tabs>
              <w:tab w:val="clear" w:pos="9463"/>
              <w:tab w:val="right" w:pos="9745" w:leader="dot"/>
            </w:tabs>
            <w:rPr/>
          </w:pPr>
          <w:hyperlink w:anchor="__RefHeading___Toc12949_2869911984">
            <w:r>
              <w:rPr>
                <w:rStyle w:val="IndexLink"/>
              </w:rPr>
              <w:t>2.3 Product Functions (Summary)</w:t>
              <w:tab/>
              <w:t>10</w:t>
            </w:r>
          </w:hyperlink>
        </w:p>
        <w:p>
          <w:pPr>
            <w:pStyle w:val="TOC2"/>
            <w:tabs>
              <w:tab w:val="clear" w:pos="9463"/>
              <w:tab w:val="right" w:pos="9745" w:leader="dot"/>
            </w:tabs>
            <w:rPr/>
          </w:pPr>
          <w:hyperlink w:anchor="__RefHeading___Toc12951_2869911984">
            <w:r>
              <w:rPr>
                <w:rStyle w:val="IndexLink"/>
              </w:rPr>
              <w:t>2.4 User Classes and Characteristics</w:t>
              <w:tab/>
              <w:t>10</w:t>
            </w:r>
          </w:hyperlink>
        </w:p>
        <w:p>
          <w:pPr>
            <w:pStyle w:val="TOC2"/>
            <w:tabs>
              <w:tab w:val="clear" w:pos="9463"/>
              <w:tab w:val="right" w:pos="9745" w:leader="dot"/>
            </w:tabs>
            <w:rPr/>
          </w:pPr>
          <w:hyperlink w:anchor="__RefHeading___Toc12953_2869911984">
            <w:r>
              <w:rPr>
                <w:rStyle w:val="IndexLink"/>
              </w:rPr>
              <w:t>2.5 Operating Environment</w:t>
              <w:tab/>
              <w:t>11</w:t>
            </w:r>
          </w:hyperlink>
        </w:p>
        <w:p>
          <w:pPr>
            <w:pStyle w:val="TOC2"/>
            <w:tabs>
              <w:tab w:val="clear" w:pos="9463"/>
              <w:tab w:val="right" w:pos="9745" w:leader="dot"/>
            </w:tabs>
            <w:rPr/>
          </w:pPr>
          <w:hyperlink w:anchor="__RefHeading___Toc12955_2869911984">
            <w:r>
              <w:rPr>
                <w:rStyle w:val="IndexLink"/>
              </w:rPr>
              <w:t>2.6 Design and Implementation Constraints</w:t>
              <w:tab/>
              <w:t>11</w:t>
            </w:r>
          </w:hyperlink>
        </w:p>
        <w:p>
          <w:pPr>
            <w:pStyle w:val="TOC2"/>
            <w:tabs>
              <w:tab w:val="clear" w:pos="9463"/>
              <w:tab w:val="right" w:pos="9745" w:leader="dot"/>
            </w:tabs>
            <w:rPr/>
          </w:pPr>
          <w:hyperlink w:anchor="__RefHeading___Toc12957_2869911984">
            <w:r>
              <w:rPr>
                <w:rStyle w:val="IndexLink"/>
              </w:rPr>
              <w:t>2.7 Release Plan</w:t>
              <w:tab/>
              <w:t>12</w:t>
            </w:r>
          </w:hyperlink>
        </w:p>
        <w:p>
          <w:pPr>
            <w:pStyle w:val="TOC2"/>
            <w:tabs>
              <w:tab w:val="clear" w:pos="9463"/>
              <w:tab w:val="right" w:pos="9745" w:leader="dot"/>
            </w:tabs>
            <w:rPr/>
          </w:pPr>
          <w:hyperlink w:anchor="__RefHeading___Toc12959_2869911984">
            <w:r>
              <w:rPr>
                <w:rStyle w:val="IndexLink"/>
              </w:rPr>
              <w:t>2.8 User Documentation</w:t>
              <w:tab/>
              <w:t>12</w:t>
            </w:r>
          </w:hyperlink>
        </w:p>
        <w:p>
          <w:pPr>
            <w:pStyle w:val="TOC2"/>
            <w:tabs>
              <w:tab w:val="clear" w:pos="9463"/>
              <w:tab w:val="right" w:pos="9745" w:leader="dot"/>
            </w:tabs>
            <w:rPr/>
          </w:pPr>
          <w:hyperlink w:anchor="__RefHeading___Toc12961_2869911984">
            <w:r>
              <w:rPr>
                <w:rStyle w:val="IndexLink"/>
              </w:rPr>
              <w:t>2.9 Assumptions and Dependencies</w:t>
              <w:tab/>
              <w:t>12</w:t>
            </w:r>
          </w:hyperlink>
        </w:p>
        <w:p>
          <w:pPr>
            <w:pStyle w:val="TOC1"/>
            <w:tabs>
              <w:tab w:val="clear" w:pos="9746"/>
              <w:tab w:val="right" w:pos="9745" w:leader="dot"/>
            </w:tabs>
            <w:rPr/>
          </w:pPr>
          <w:hyperlink w:anchor="__RefHeading___Toc12963_2869911984">
            <w:r>
              <w:rPr>
                <w:rStyle w:val="IndexLink"/>
              </w:rPr>
              <w:t>3. Solution Overview</w:t>
              <w:tab/>
              <w:t>14</w:t>
            </w:r>
          </w:hyperlink>
        </w:p>
        <w:p>
          <w:pPr>
            <w:pStyle w:val="TOC2"/>
            <w:tabs>
              <w:tab w:val="clear" w:pos="9463"/>
              <w:tab w:val="right" w:pos="9745" w:leader="dot"/>
            </w:tabs>
            <w:rPr/>
          </w:pPr>
          <w:hyperlink w:anchor="__RefHeading___Toc12965_2869911984">
            <w:r>
              <w:rPr>
                <w:rStyle w:val="IndexLink"/>
              </w:rPr>
              <w:t>3.1 Logical Layers</w:t>
              <w:tab/>
              <w:t>14</w:t>
            </w:r>
          </w:hyperlink>
        </w:p>
        <w:p>
          <w:pPr>
            <w:pStyle w:val="TOC2"/>
            <w:tabs>
              <w:tab w:val="clear" w:pos="9463"/>
              <w:tab w:val="right" w:pos="9745" w:leader="dot"/>
            </w:tabs>
            <w:rPr/>
          </w:pPr>
          <w:hyperlink w:anchor="__RefHeading___Toc12967_2869911984">
            <w:r>
              <w:rPr>
                <w:rStyle w:val="IndexLink"/>
              </w:rPr>
              <w:t>3.2 Key Design Principles</w:t>
              <w:tab/>
              <w:t>14</w:t>
            </w:r>
          </w:hyperlink>
        </w:p>
        <w:p>
          <w:pPr>
            <w:pStyle w:val="TOC1"/>
            <w:tabs>
              <w:tab w:val="clear" w:pos="9746"/>
              <w:tab w:val="right" w:pos="9745" w:leader="dot"/>
            </w:tabs>
            <w:rPr/>
          </w:pPr>
          <w:hyperlink w:anchor="__RefHeading___Toc12969_2869911984">
            <w:r>
              <w:rPr>
                <w:rStyle w:val="IndexLink"/>
              </w:rPr>
              <w:t>4. Functional Requirements</w:t>
              <w:tab/>
              <w:t>15</w:t>
            </w:r>
          </w:hyperlink>
        </w:p>
        <w:p>
          <w:pPr>
            <w:pStyle w:val="TOC2"/>
            <w:tabs>
              <w:tab w:val="clear" w:pos="9463"/>
              <w:tab w:val="right" w:pos="9745" w:leader="dot"/>
            </w:tabs>
            <w:rPr/>
          </w:pPr>
          <w:hyperlink w:anchor="__RefHeading___Toc12971_2869911984">
            <w:r>
              <w:rPr>
                <w:rStyle w:val="IndexLink"/>
              </w:rPr>
              <w:t>4.1 Customer Onboarding &amp; e-KYC (ONB)</w:t>
              <w:tab/>
              <w:t>15</w:t>
            </w:r>
          </w:hyperlink>
        </w:p>
        <w:p>
          <w:pPr>
            <w:pStyle w:val="TOC2"/>
            <w:tabs>
              <w:tab w:val="clear" w:pos="9463"/>
              <w:tab w:val="right" w:pos="9745" w:leader="dot"/>
            </w:tabs>
            <w:rPr/>
          </w:pPr>
          <w:hyperlink w:anchor="__RefHeading___Toc12973_2869911984">
            <w:r>
              <w:rPr>
                <w:rStyle w:val="IndexLink"/>
              </w:rPr>
              <w:t>4.2 Wallet &amp; Ledger Management (LED)</w:t>
              <w:tab/>
              <w:t>16</w:t>
            </w:r>
          </w:hyperlink>
        </w:p>
        <w:p>
          <w:pPr>
            <w:pStyle w:val="TOC2"/>
            <w:tabs>
              <w:tab w:val="clear" w:pos="9463"/>
              <w:tab w:val="right" w:pos="9745" w:leader="dot"/>
            </w:tabs>
            <w:rPr/>
          </w:pPr>
          <w:hyperlink w:anchor="__RefHeading___Toc12977_2869911984">
            <w:r>
              <w:rPr>
                <w:rStyle w:val="IndexLink"/>
              </w:rPr>
              <w:t>4.3 Payments &amp; Transfers (PAY)</w:t>
              <w:tab/>
              <w:t>17</w:t>
            </w:r>
          </w:hyperlink>
        </w:p>
        <w:p>
          <w:pPr>
            <w:pStyle w:val="TOC2"/>
            <w:tabs>
              <w:tab w:val="clear" w:pos="9463"/>
              <w:tab w:val="right" w:pos="9745" w:leader="dot"/>
            </w:tabs>
            <w:rPr/>
          </w:pPr>
          <w:hyperlink w:anchor="__RefHeading___Toc12979_2869911984">
            <w:r>
              <w:rPr>
                <w:rStyle w:val="IndexLink"/>
              </w:rPr>
              <w:t>4.4 Merchant Services &amp; Bangla QR (MER)</w:t>
              <w:tab/>
              <w:t>18</w:t>
            </w:r>
          </w:hyperlink>
        </w:p>
        <w:p>
          <w:pPr>
            <w:pStyle w:val="TOC2"/>
            <w:tabs>
              <w:tab w:val="clear" w:pos="9463"/>
              <w:tab w:val="right" w:pos="9745" w:leader="dot"/>
            </w:tabs>
            <w:rPr/>
          </w:pPr>
          <w:hyperlink w:anchor="__RefHeading___Toc12981_2869911984">
            <w:r>
              <w:rPr>
                <w:rStyle w:val="IndexLink"/>
              </w:rPr>
              <w:t>4.5 Agent Services (AGT)</w:t>
              <w:tab/>
              <w:t>18</w:t>
            </w:r>
          </w:hyperlink>
        </w:p>
        <w:p>
          <w:pPr>
            <w:pStyle w:val="TOC2"/>
            <w:tabs>
              <w:tab w:val="clear" w:pos="9463"/>
              <w:tab w:val="right" w:pos="9745" w:leader="dot"/>
            </w:tabs>
            <w:rPr/>
          </w:pPr>
          <w:hyperlink w:anchor="__RefHeading___Toc12983_2869911984">
            <w:r>
              <w:rPr>
                <w:rStyle w:val="IndexLink"/>
              </w:rPr>
              <w:t>4.6 Bill Payment &amp; Value-Added Services (BIL)</w:t>
              <w:tab/>
              <w:t>19</w:t>
            </w:r>
          </w:hyperlink>
        </w:p>
        <w:p>
          <w:pPr>
            <w:pStyle w:val="TOC2"/>
            <w:tabs>
              <w:tab w:val="clear" w:pos="9463"/>
              <w:tab w:val="right" w:pos="9745" w:leader="dot"/>
            </w:tabs>
            <w:rPr/>
          </w:pPr>
          <w:hyperlink w:anchor="__RefHeading___Toc12985_2869911984">
            <w:r>
              <w:rPr>
                <w:rStyle w:val="IndexLink"/>
              </w:rPr>
              <w:t>4.7 Remittance (REM)</w:t>
              <w:tab/>
              <w:t>19</w:t>
            </w:r>
          </w:hyperlink>
        </w:p>
        <w:p>
          <w:pPr>
            <w:pStyle w:val="TOC2"/>
            <w:tabs>
              <w:tab w:val="clear" w:pos="9463"/>
              <w:tab w:val="right" w:pos="9745" w:leader="dot"/>
            </w:tabs>
            <w:rPr/>
          </w:pPr>
          <w:hyperlink w:anchor="__RefHeading___Toc12987_2869911984">
            <w:r>
              <w:rPr>
                <w:rStyle w:val="IndexLink"/>
              </w:rPr>
              <w:t>4.8 Customer Channels &amp; Experience (CX)</w:t>
              <w:tab/>
              <w:t>20</w:t>
            </w:r>
          </w:hyperlink>
        </w:p>
        <w:p>
          <w:pPr>
            <w:pStyle w:val="TOC2"/>
            <w:tabs>
              <w:tab w:val="clear" w:pos="9463"/>
              <w:tab w:val="right" w:pos="9745" w:leader="dot"/>
            </w:tabs>
            <w:rPr/>
          </w:pPr>
          <w:hyperlink w:anchor="__RefHeading___Toc12989_2869911984">
            <w:r>
              <w:rPr>
                <w:rStyle w:val="IndexLink"/>
              </w:rPr>
              <w:t>4.9 Customer Support, Disputes &amp; Reversal (SUP)</w:t>
              <w:tab/>
              <w:t>20</w:t>
            </w:r>
          </w:hyperlink>
        </w:p>
        <w:p>
          <w:pPr>
            <w:pStyle w:val="TOC2"/>
            <w:tabs>
              <w:tab w:val="clear" w:pos="9463"/>
              <w:tab w:val="right" w:pos="9745" w:leader="dot"/>
            </w:tabs>
            <w:rPr/>
          </w:pPr>
          <w:hyperlink w:anchor="__RefHeading___Toc12991_2869911984">
            <w:r>
              <w:rPr>
                <w:rStyle w:val="IndexLink"/>
              </w:rPr>
              <w:t>4.10 Cash-In / Cash-Out (CICO)</w:t>
              <w:tab/>
              <w:t>21</w:t>
            </w:r>
          </w:hyperlink>
        </w:p>
        <w:p>
          <w:pPr>
            <w:pStyle w:val="TOC2"/>
            <w:tabs>
              <w:tab w:val="clear" w:pos="9463"/>
              <w:tab w:val="right" w:pos="9745" w:leader="dot"/>
            </w:tabs>
            <w:rPr/>
          </w:pPr>
          <w:hyperlink w:anchor="__RefHeading___Toc12993_2869911984">
            <w:r>
              <w:rPr>
                <w:rStyle w:val="IndexLink"/>
              </w:rPr>
              <w:t>4.11 Distributor Module (DST)</w:t>
              <w:tab/>
              <w:t>21</w:t>
            </w:r>
          </w:hyperlink>
        </w:p>
        <w:p>
          <w:pPr>
            <w:pStyle w:val="TOC2"/>
            <w:tabs>
              <w:tab w:val="clear" w:pos="9463"/>
              <w:tab w:val="right" w:pos="9745" w:leader="dot"/>
            </w:tabs>
            <w:rPr/>
          </w:pPr>
          <w:hyperlink w:anchor="__RefHeading___Toc12995_2869911984">
            <w:r>
              <w:rPr>
                <w:rStyle w:val="IndexLink"/>
              </w:rPr>
              <w:t>4.12 Merchant, Agent &amp; Partner Onboarding (PON)</w:t>
              <w:tab/>
              <w:t>22</w:t>
            </w:r>
          </w:hyperlink>
        </w:p>
        <w:p>
          <w:pPr>
            <w:pStyle w:val="TOC2"/>
            <w:tabs>
              <w:tab w:val="clear" w:pos="9463"/>
              <w:tab w:val="right" w:pos="9745" w:leader="dot"/>
            </w:tabs>
            <w:rPr/>
          </w:pPr>
          <w:hyperlink w:anchor="__RefHeading___Toc12997_2869911984">
            <w:r>
              <w:rPr>
                <w:rStyle w:val="IndexLink"/>
              </w:rPr>
              <w:t>4.13 Merchant &amp; Agent Web Portal (PRT)</w:t>
              <w:tab/>
              <w:t>22</w:t>
            </w:r>
          </w:hyperlink>
        </w:p>
        <w:p>
          <w:pPr>
            <w:pStyle w:val="TOC2"/>
            <w:tabs>
              <w:tab w:val="clear" w:pos="9463"/>
              <w:tab w:val="right" w:pos="9745" w:leader="dot"/>
            </w:tabs>
            <w:rPr/>
          </w:pPr>
          <w:hyperlink w:anchor="__RefHeading___Toc12999_2869911984">
            <w:r>
              <w:rPr>
                <w:rStyle w:val="IndexLink"/>
              </w:rPr>
              <w:t>4.14 Reporting, MIS &amp; Analytics (RPT)</w:t>
              <w:tab/>
              <w:t>23</w:t>
            </w:r>
          </w:hyperlink>
        </w:p>
        <w:p>
          <w:pPr>
            <w:pStyle w:val="TOC2"/>
            <w:tabs>
              <w:tab w:val="clear" w:pos="9463"/>
              <w:tab w:val="right" w:pos="9745" w:leader="dot"/>
            </w:tabs>
            <w:rPr/>
          </w:pPr>
          <w:hyperlink w:anchor="__RefHeading___Toc13001_2869911984">
            <w:r>
              <w:rPr>
                <w:rStyle w:val="IndexLink"/>
              </w:rPr>
              <w:t>4.15 Reconciliation &amp; Settlement (REC)</w:t>
              <w:tab/>
              <w:t>23</w:t>
            </w:r>
          </w:hyperlink>
        </w:p>
        <w:p>
          <w:pPr>
            <w:pStyle w:val="TOC2"/>
            <w:tabs>
              <w:tab w:val="clear" w:pos="9463"/>
              <w:tab w:val="right" w:pos="9745" w:leader="dot"/>
            </w:tabs>
            <w:rPr/>
          </w:pPr>
          <w:hyperlink w:anchor="__RefHeading___Toc13003_2869911984">
            <w:r>
              <w:rPr>
                <w:rStyle w:val="IndexLink"/>
              </w:rPr>
              <w:t>4.16 User Authentication (AUT)</w:t>
              <w:tab/>
              <w:t>24</w:t>
            </w:r>
          </w:hyperlink>
        </w:p>
        <w:p>
          <w:pPr>
            <w:pStyle w:val="TOC2"/>
            <w:tabs>
              <w:tab w:val="clear" w:pos="9463"/>
              <w:tab w:val="right" w:pos="9745" w:leader="dot"/>
            </w:tabs>
            <w:rPr/>
          </w:pPr>
          <w:hyperlink w:anchor="__RefHeading___Toc13005_2869911984">
            <w:r>
              <w:rPr>
                <w:rStyle w:val="IndexLink"/>
              </w:rPr>
              <w:t>4.17 Account Closure, Deactivation &amp; Reactivation (ACL)</w:t>
              <w:tab/>
              <w:t>25</w:t>
            </w:r>
          </w:hyperlink>
        </w:p>
        <w:p>
          <w:pPr>
            <w:pStyle w:val="TOC2"/>
            <w:tabs>
              <w:tab w:val="clear" w:pos="9463"/>
              <w:tab w:val="right" w:pos="9745" w:leader="dot"/>
            </w:tabs>
            <w:rPr/>
          </w:pPr>
          <w:hyperlink w:anchor="__RefHeading___Toc13007_2869911984">
            <w:r>
              <w:rPr>
                <w:rStyle w:val="IndexLink"/>
              </w:rPr>
              <w:t>4.18 Add Money (ADD)</w:t>
              <w:tab/>
              <w:t>25</w:t>
            </w:r>
          </w:hyperlink>
        </w:p>
        <w:p>
          <w:pPr>
            <w:pStyle w:val="TOC2"/>
            <w:tabs>
              <w:tab w:val="clear" w:pos="9463"/>
              <w:tab w:val="right" w:pos="9745" w:leader="dot"/>
            </w:tabs>
            <w:rPr/>
          </w:pPr>
          <w:hyperlink w:anchor="__RefHeading___Toc13009_2869911984">
            <w:r>
              <w:rPr>
                <w:rStyle w:val="IndexLink"/>
              </w:rPr>
              <w:t>4.19 Notifications &amp; Reminders (NOT)</w:t>
              <w:tab/>
              <w:t>25</w:t>
            </w:r>
          </w:hyperlink>
        </w:p>
        <w:p>
          <w:pPr>
            <w:pStyle w:val="TOC2"/>
            <w:tabs>
              <w:tab w:val="clear" w:pos="9463"/>
              <w:tab w:val="right" w:pos="9745" w:leader="dot"/>
            </w:tabs>
            <w:rPr/>
          </w:pPr>
          <w:hyperlink w:anchor="__RefHeading___Toc13011_2869911984">
            <w:r>
              <w:rPr>
                <w:rStyle w:val="IndexLink"/>
              </w:rPr>
              <w:t>4.20 Campaign Management (CMP)</w:t>
              <w:tab/>
              <w:t>26</w:t>
            </w:r>
          </w:hyperlink>
        </w:p>
        <w:p>
          <w:pPr>
            <w:pStyle w:val="TOC2"/>
            <w:tabs>
              <w:tab w:val="clear" w:pos="9463"/>
              <w:tab w:val="right" w:pos="9745" w:leader="dot"/>
            </w:tabs>
            <w:rPr/>
          </w:pPr>
          <w:hyperlink w:anchor="__RefHeading___Toc13013_2869911984">
            <w:r>
              <w:rPr>
                <w:rStyle w:val="IndexLink"/>
              </w:rPr>
              <w:t>4.21 Agent &amp; Distributor Commission Management (COM)</w:t>
              <w:tab/>
              <w:t>26</w:t>
            </w:r>
          </w:hyperlink>
        </w:p>
        <w:p>
          <w:pPr>
            <w:pStyle w:val="TOC2"/>
            <w:tabs>
              <w:tab w:val="clear" w:pos="9463"/>
              <w:tab w:val="right" w:pos="9745" w:leader="dot"/>
            </w:tabs>
            <w:rPr/>
          </w:pPr>
          <w:hyperlink w:anchor="__RefHeading___Toc13017_2869911984">
            <w:r>
              <w:rPr>
                <w:rStyle w:val="IndexLink"/>
              </w:rPr>
              <w:t>4.22 E-Money Issuance &amp; Redemption (EMY)</w:t>
              <w:tab/>
              <w:t>27</w:t>
            </w:r>
          </w:hyperlink>
        </w:p>
        <w:p>
          <w:pPr>
            <w:pStyle w:val="TOC2"/>
            <w:tabs>
              <w:tab w:val="clear" w:pos="9463"/>
              <w:tab w:val="right" w:pos="9745" w:leader="dot"/>
            </w:tabs>
            <w:rPr/>
          </w:pPr>
          <w:hyperlink w:anchor="__RefHeading___Toc13021_2869911984">
            <w:r>
              <w:rPr>
                <w:rStyle w:val="IndexLink"/>
              </w:rPr>
              <w:t>4.23 Back-Office Management (BOM)</w:t>
              <w:tab/>
              <w:t>27</w:t>
            </w:r>
          </w:hyperlink>
        </w:p>
        <w:p>
          <w:pPr>
            <w:pStyle w:val="TOC2"/>
            <w:tabs>
              <w:tab w:val="clear" w:pos="9463"/>
              <w:tab w:val="right" w:pos="9745" w:leader="dot"/>
            </w:tabs>
            <w:rPr/>
          </w:pPr>
          <w:hyperlink w:anchor="__RefHeading___Toc13023_2869911984">
            <w:r>
              <w:rPr>
                <w:rStyle w:val="IndexLink"/>
              </w:rPr>
              <w:t>4.24 Fraud Management Engine (FRD)</w:t>
              <w:tab/>
              <w:t>28</w:t>
            </w:r>
          </w:hyperlink>
        </w:p>
        <w:p>
          <w:pPr>
            <w:pStyle w:val="TOC2"/>
            <w:tabs>
              <w:tab w:val="clear" w:pos="9463"/>
              <w:tab w:val="right" w:pos="9745" w:leader="dot"/>
            </w:tabs>
            <w:rPr/>
          </w:pPr>
          <w:hyperlink w:anchor="__RefHeading___Toc13025_2869911984">
            <w:r>
              <w:rPr>
                <w:rStyle w:val="IndexLink"/>
              </w:rPr>
              <w:t>4.25 AML/CFT Compliance (AML)</w:t>
              <w:tab/>
              <w:t>29</w:t>
            </w:r>
          </w:hyperlink>
        </w:p>
        <w:p>
          <w:pPr>
            <w:pStyle w:val="TOC2"/>
            <w:tabs>
              <w:tab w:val="clear" w:pos="9463"/>
              <w:tab w:val="right" w:pos="9745" w:leader="dot"/>
            </w:tabs>
            <w:rPr/>
          </w:pPr>
          <w:hyperlink w:anchor="__RefHeading___Toc13027_2869911984">
            <w:r>
              <w:rPr>
                <w:rStyle w:val="IndexLink"/>
              </w:rPr>
              <w:t>4.26 Limit &amp; Tier Management Engine (LIM)</w:t>
              <w:tab/>
              <w:t>29</w:t>
            </w:r>
          </w:hyperlink>
        </w:p>
        <w:p>
          <w:pPr>
            <w:pStyle w:val="TOC2"/>
            <w:tabs>
              <w:tab w:val="clear" w:pos="9463"/>
              <w:tab w:val="right" w:pos="9745" w:leader="dot"/>
            </w:tabs>
            <w:rPr/>
          </w:pPr>
          <w:hyperlink w:anchor="__RefHeading___Toc13029_2869911984">
            <w:r>
              <w:rPr>
                <w:rStyle w:val="IndexLink"/>
              </w:rPr>
              <w:t>4.27 Device Management &amp; Session Control (DEV)</w:t>
              <w:tab/>
              <w:t>30</w:t>
            </w:r>
          </w:hyperlink>
        </w:p>
        <w:p>
          <w:pPr>
            <w:pStyle w:val="TOC2"/>
            <w:tabs>
              <w:tab w:val="clear" w:pos="9463"/>
              <w:tab w:val="right" w:pos="9745" w:leader="dot"/>
            </w:tabs>
            <w:rPr/>
          </w:pPr>
          <w:hyperlink w:anchor="__RefHeading___Toc13031_2869911984">
            <w:r>
              <w:rPr>
                <w:rStyle w:val="IndexLink"/>
              </w:rPr>
              <w:t>4.28 Liquidity &amp; Float Management (LIQ)</w:t>
              <w:tab/>
              <w:t>30</w:t>
            </w:r>
          </w:hyperlink>
        </w:p>
        <w:p>
          <w:pPr>
            <w:pStyle w:val="TOC2"/>
            <w:tabs>
              <w:tab w:val="clear" w:pos="9463"/>
              <w:tab w:val="right" w:pos="9745" w:leader="dot"/>
            </w:tabs>
            <w:rPr/>
          </w:pPr>
          <w:hyperlink w:anchor="__RefHeading___Toc13033_2869911984">
            <w:r>
              <w:rPr>
                <w:rStyle w:val="IndexLink"/>
              </w:rPr>
              <w:t>4.29 API Gateway &amp; Integration Management (API)</w:t>
              <w:tab/>
              <w:t>31</w:t>
            </w:r>
          </w:hyperlink>
        </w:p>
        <w:p>
          <w:pPr>
            <w:pStyle w:val="TOC2"/>
            <w:tabs>
              <w:tab w:val="clear" w:pos="9463"/>
              <w:tab w:val="right" w:pos="9745" w:leader="dot"/>
            </w:tabs>
            <w:rPr/>
          </w:pPr>
          <w:hyperlink w:anchor="__RefHeading___Toc13035_2869911984">
            <w:r>
              <w:rPr>
                <w:rStyle w:val="IndexLink"/>
              </w:rPr>
              <w:t>4.30 Data Archiving &amp; Retention (ARC)</w:t>
              <w:tab/>
              <w:t>31</w:t>
            </w:r>
          </w:hyperlink>
        </w:p>
        <w:p>
          <w:pPr>
            <w:pStyle w:val="TOC2"/>
            <w:tabs>
              <w:tab w:val="clear" w:pos="9463"/>
              <w:tab w:val="right" w:pos="9745" w:leader="dot"/>
            </w:tabs>
            <w:rPr/>
          </w:pPr>
          <w:hyperlink w:anchor="__RefHeading___Toc13037_2869911984">
            <w:r>
              <w:rPr>
                <w:rStyle w:val="IndexLink"/>
              </w:rPr>
              <w:t>4.31 Audit Trail &amp; System Traceability (AUD)</w:t>
              <w:tab/>
              <w:t>32</w:t>
            </w:r>
          </w:hyperlink>
        </w:p>
        <w:p>
          <w:pPr>
            <w:pStyle w:val="TOC2"/>
            <w:tabs>
              <w:tab w:val="clear" w:pos="9463"/>
              <w:tab w:val="right" w:pos="9745" w:leader="dot"/>
            </w:tabs>
            <w:rPr/>
          </w:pPr>
          <w:hyperlink w:anchor="__RefHeading___Toc13039_2869911984">
            <w:r>
              <w:rPr>
                <w:rStyle w:val="IndexLink"/>
              </w:rPr>
              <w:t>4.32 Fee, Charge &amp; Tax Engine (FEE)</w:t>
              <w:tab/>
              <w:t>32</w:t>
            </w:r>
          </w:hyperlink>
        </w:p>
        <w:p>
          <w:pPr>
            <w:pStyle w:val="TOC2"/>
            <w:tabs>
              <w:tab w:val="clear" w:pos="9463"/>
              <w:tab w:val="right" w:pos="9745" w:leader="dot"/>
            </w:tabs>
            <w:rPr/>
          </w:pPr>
          <w:hyperlink w:anchor="__RefHeading___Toc13041_2869911984">
            <w:r>
              <w:rPr>
                <w:rStyle w:val="IndexLink"/>
              </w:rPr>
              <w:t>4.33 User, Role &amp; System Administration (ADM)</w:t>
              <w:tab/>
              <w:t>32</w:t>
            </w:r>
          </w:hyperlink>
        </w:p>
        <w:p>
          <w:pPr>
            <w:pStyle w:val="TOC1"/>
            <w:tabs>
              <w:tab w:val="clear" w:pos="9746"/>
              <w:tab w:val="right" w:pos="9745" w:leader="dot"/>
            </w:tabs>
            <w:rPr/>
          </w:pPr>
          <w:hyperlink w:anchor="__RefHeading___Toc13043_2869911984">
            <w:r>
              <w:rPr>
                <w:rStyle w:val="IndexLink"/>
              </w:rPr>
              <w:t>5. Key Use Cases</w:t>
              <w:tab/>
              <w:t>33</w:t>
            </w:r>
          </w:hyperlink>
        </w:p>
        <w:p>
          <w:pPr>
            <w:pStyle w:val="TOC2"/>
            <w:tabs>
              <w:tab w:val="clear" w:pos="9463"/>
              <w:tab w:val="right" w:pos="9745" w:leader="dot"/>
            </w:tabs>
            <w:rPr/>
          </w:pPr>
          <w:hyperlink w:anchor="__RefHeading___Toc13045_2869911984">
            <w:r>
              <w:rPr>
                <w:rStyle w:val="IndexLink"/>
              </w:rPr>
              <w:t>UC-01 Customer Self-Onboarding with e-KYC</w:t>
              <w:tab/>
              <w:t>33</w:t>
            </w:r>
          </w:hyperlink>
        </w:p>
        <w:p>
          <w:pPr>
            <w:pStyle w:val="TOC2"/>
            <w:tabs>
              <w:tab w:val="clear" w:pos="9463"/>
              <w:tab w:val="right" w:pos="9745" w:leader="dot"/>
            </w:tabs>
            <w:rPr/>
          </w:pPr>
          <w:hyperlink w:anchor="__RefHeading___Toc13047_2869911984">
            <w:r>
              <w:rPr>
                <w:rStyle w:val="IndexLink"/>
              </w:rPr>
              <w:t>UC-02 Send Money (P2P)</w:t>
              <w:tab/>
              <w:t>33</w:t>
            </w:r>
          </w:hyperlink>
        </w:p>
        <w:p>
          <w:pPr>
            <w:pStyle w:val="TOC2"/>
            <w:tabs>
              <w:tab w:val="clear" w:pos="9463"/>
              <w:tab w:val="right" w:pos="9745" w:leader="dot"/>
            </w:tabs>
            <w:rPr/>
          </w:pPr>
          <w:hyperlink w:anchor="__RefHeading___Toc13049_2869911984">
            <w:r>
              <w:rPr>
                <w:rStyle w:val="IndexLink"/>
              </w:rPr>
              <w:t>UC-03 Bulk Salary Disbursement</w:t>
              <w:tab/>
              <w:t>33</w:t>
            </w:r>
          </w:hyperlink>
        </w:p>
        <w:p>
          <w:pPr>
            <w:pStyle w:val="TOC2"/>
            <w:tabs>
              <w:tab w:val="clear" w:pos="9463"/>
              <w:tab w:val="right" w:pos="9745" w:leader="dot"/>
            </w:tabs>
            <w:rPr/>
          </w:pPr>
          <w:hyperlink w:anchor="__RefHeading___Toc13051_2869911984">
            <w:r>
              <w:rPr>
                <w:rStyle w:val="IndexLink"/>
              </w:rPr>
              <w:t>UC-04 Cash-Out at Agent</w:t>
              <w:tab/>
              <w:t>34</w:t>
            </w:r>
          </w:hyperlink>
        </w:p>
        <w:p>
          <w:pPr>
            <w:pStyle w:val="TOC2"/>
            <w:tabs>
              <w:tab w:val="clear" w:pos="9463"/>
              <w:tab w:val="right" w:pos="9745" w:leader="dot"/>
            </w:tabs>
            <w:rPr/>
          </w:pPr>
          <w:hyperlink w:anchor="__RefHeading___Toc13053_2869911984">
            <w:r>
              <w:rPr>
                <w:rStyle w:val="IndexLink"/>
              </w:rPr>
              <w:t>UC-05 Bangla QR Merchant Payment</w:t>
              <w:tab/>
              <w:t>34</w:t>
            </w:r>
          </w:hyperlink>
        </w:p>
        <w:p>
          <w:pPr>
            <w:pStyle w:val="TOC2"/>
            <w:tabs>
              <w:tab w:val="clear" w:pos="9463"/>
              <w:tab w:val="right" w:pos="9745" w:leader="dot"/>
            </w:tabs>
            <w:rPr/>
          </w:pPr>
          <w:hyperlink w:anchor="__RefHeading___Toc13055_2869911984">
            <w:r>
              <w:rPr>
                <w:rStyle w:val="IndexLink"/>
              </w:rPr>
              <w:t>UC-06 Add Money from Bank via NPSB</w:t>
              <w:tab/>
              <w:t>34</w:t>
            </w:r>
          </w:hyperlink>
        </w:p>
        <w:p>
          <w:pPr>
            <w:pStyle w:val="TOC2"/>
            <w:tabs>
              <w:tab w:val="clear" w:pos="9463"/>
              <w:tab w:val="right" w:pos="9745" w:leader="dot"/>
            </w:tabs>
            <w:rPr/>
          </w:pPr>
          <w:hyperlink w:anchor="__RefHeading___Toc13057_2869911984">
            <w:r>
              <w:rPr>
                <w:rStyle w:val="IndexLink"/>
              </w:rPr>
              <w:t>UC-07 Bill Payment via ekPay</w:t>
              <w:tab/>
              <w:t>34</w:t>
            </w:r>
          </w:hyperlink>
        </w:p>
        <w:p>
          <w:pPr>
            <w:pStyle w:val="TOC2"/>
            <w:tabs>
              <w:tab w:val="clear" w:pos="9463"/>
              <w:tab w:val="right" w:pos="9745" w:leader="dot"/>
            </w:tabs>
            <w:rPr/>
          </w:pPr>
          <w:hyperlink w:anchor="__RefHeading___Toc13059_2869911984">
            <w:r>
              <w:rPr>
                <w:rStyle w:val="IndexLink"/>
              </w:rPr>
              <w:t>UC-08 Inbound International Remittance</w:t>
              <w:tab/>
              <w:t>35</w:t>
            </w:r>
          </w:hyperlink>
        </w:p>
        <w:p>
          <w:pPr>
            <w:pStyle w:val="TOC2"/>
            <w:tabs>
              <w:tab w:val="clear" w:pos="9463"/>
              <w:tab w:val="right" w:pos="9745" w:leader="dot"/>
            </w:tabs>
            <w:rPr/>
          </w:pPr>
          <w:hyperlink w:anchor="__RefHeading___Toc13061_2869911984">
            <w:r>
              <w:rPr>
                <w:rStyle w:val="IndexLink"/>
              </w:rPr>
              <w:t>UC-09 Transfer to Bank or Other MFS (NPSB / Binimoy)</w:t>
              <w:tab/>
              <w:t>35</w:t>
            </w:r>
          </w:hyperlink>
        </w:p>
        <w:p>
          <w:pPr>
            <w:pStyle w:val="TOC2"/>
            <w:tabs>
              <w:tab w:val="clear" w:pos="9463"/>
              <w:tab w:val="right" w:pos="9745" w:leader="dot"/>
            </w:tabs>
            <w:rPr/>
          </w:pPr>
          <w:hyperlink w:anchor="__RefHeading___Toc13063_2869911984">
            <w:r>
              <w:rPr>
                <w:rStyle w:val="IndexLink"/>
              </w:rPr>
              <w:t>UC-10 Wallet Closure</w:t>
              <w:tab/>
              <w:t>35</w:t>
            </w:r>
          </w:hyperlink>
        </w:p>
        <w:p>
          <w:pPr>
            <w:pStyle w:val="TOC2"/>
            <w:tabs>
              <w:tab w:val="clear" w:pos="9463"/>
              <w:tab w:val="right" w:pos="9745" w:leader="dot"/>
            </w:tabs>
            <w:rPr/>
          </w:pPr>
          <w:hyperlink w:anchor="__RefHeading___Toc13065_2869911984">
            <w:r>
              <w:rPr>
                <w:rStyle w:val="IndexLink"/>
              </w:rPr>
              <w:t>UC-11 Dispute &amp; Wrong-Transfer Resolution</w:t>
              <w:tab/>
              <w:t>35</w:t>
            </w:r>
          </w:hyperlink>
        </w:p>
        <w:p>
          <w:pPr>
            <w:pStyle w:val="TOC2"/>
            <w:tabs>
              <w:tab w:val="clear" w:pos="9463"/>
              <w:tab w:val="right" w:pos="9745" w:leader="dot"/>
            </w:tabs>
            <w:rPr/>
          </w:pPr>
          <w:hyperlink w:anchor="__RefHeading___Toc13067_2869911984">
            <w:r>
              <w:rPr>
                <w:rStyle w:val="IndexLink"/>
              </w:rPr>
              <w:t>UC-12 Daily Reconciliation &amp; E-Money Assurance</w:t>
              <w:tab/>
              <w:t>35</w:t>
            </w:r>
          </w:hyperlink>
        </w:p>
        <w:p>
          <w:pPr>
            <w:pStyle w:val="TOC1"/>
            <w:tabs>
              <w:tab w:val="clear" w:pos="9746"/>
              <w:tab w:val="right" w:pos="9745" w:leader="dot"/>
            </w:tabs>
            <w:rPr/>
          </w:pPr>
          <w:hyperlink w:anchor="__RefHeading___Toc13069_2869911984">
            <w:r>
              <w:rPr>
                <w:rStyle w:val="IndexLink"/>
              </w:rPr>
              <w:t>6. External Interface Requirements</w:t>
              <w:tab/>
              <w:t>36</w:t>
            </w:r>
          </w:hyperlink>
        </w:p>
        <w:p>
          <w:pPr>
            <w:pStyle w:val="TOC2"/>
            <w:tabs>
              <w:tab w:val="clear" w:pos="9463"/>
              <w:tab w:val="right" w:pos="9745" w:leader="dot"/>
            </w:tabs>
            <w:rPr/>
          </w:pPr>
          <w:hyperlink w:anchor="__RefHeading___Toc13071_2869911984">
            <w:r>
              <w:rPr>
                <w:rStyle w:val="IndexLink"/>
              </w:rPr>
              <w:t>6.1 User Interfaces</w:t>
              <w:tab/>
              <w:t>36</w:t>
            </w:r>
          </w:hyperlink>
        </w:p>
        <w:p>
          <w:pPr>
            <w:pStyle w:val="TOC2"/>
            <w:tabs>
              <w:tab w:val="clear" w:pos="9463"/>
              <w:tab w:val="right" w:pos="9745" w:leader="dot"/>
            </w:tabs>
            <w:rPr/>
          </w:pPr>
          <w:hyperlink w:anchor="__RefHeading___Toc13073_2869911984">
            <w:r>
              <w:rPr>
                <w:rStyle w:val="IndexLink"/>
              </w:rPr>
              <w:t>6.2 Hardware Interfaces</w:t>
              <w:tab/>
              <w:t>36</w:t>
            </w:r>
          </w:hyperlink>
        </w:p>
        <w:p>
          <w:pPr>
            <w:pStyle w:val="TOC2"/>
            <w:tabs>
              <w:tab w:val="clear" w:pos="9463"/>
              <w:tab w:val="right" w:pos="9745" w:leader="dot"/>
            </w:tabs>
            <w:rPr/>
          </w:pPr>
          <w:hyperlink w:anchor="__RefHeading___Toc13075_2869911984">
            <w:r>
              <w:rPr>
                <w:rStyle w:val="IndexLink"/>
              </w:rPr>
              <w:t>6.3 Software Interfaces — Integration Catalogue</w:t>
              <w:tab/>
              <w:t>36</w:t>
            </w:r>
          </w:hyperlink>
        </w:p>
        <w:p>
          <w:pPr>
            <w:pStyle w:val="TOC2"/>
            <w:tabs>
              <w:tab w:val="clear" w:pos="9463"/>
              <w:tab w:val="right" w:pos="9745" w:leader="dot"/>
            </w:tabs>
            <w:rPr/>
          </w:pPr>
          <w:hyperlink w:anchor="__RefHeading___Toc13077_2869911984">
            <w:r>
              <w:rPr>
                <w:rStyle w:val="IndexLink"/>
              </w:rPr>
              <w:t>6.4 Communication Interfaces</w:t>
              <w:tab/>
              <w:t>38</w:t>
            </w:r>
          </w:hyperlink>
        </w:p>
        <w:p>
          <w:pPr>
            <w:pStyle w:val="TOC2"/>
            <w:tabs>
              <w:tab w:val="clear" w:pos="9463"/>
              <w:tab w:val="right" w:pos="9745" w:leader="dot"/>
            </w:tabs>
            <w:rPr/>
          </w:pPr>
          <w:hyperlink w:anchor="__RefHeading___Toc13079_2869911984">
            <w:r>
              <w:rPr>
                <w:rStyle w:val="IndexLink"/>
              </w:rPr>
              <w:t>6.5 Regulatory Reporting Catalogue</w:t>
              <w:tab/>
              <w:t>38</w:t>
            </w:r>
          </w:hyperlink>
        </w:p>
        <w:p>
          <w:pPr>
            <w:pStyle w:val="TOC1"/>
            <w:tabs>
              <w:tab w:val="clear" w:pos="9746"/>
              <w:tab w:val="right" w:pos="9745" w:leader="dot"/>
            </w:tabs>
            <w:rPr/>
          </w:pPr>
          <w:hyperlink w:anchor="__RefHeading___Toc13081_2869911984">
            <w:r>
              <w:rPr>
                <w:rStyle w:val="IndexLink"/>
              </w:rPr>
              <w:t>7. Non-Functional Requirements</w:t>
              <w:tab/>
              <w:t>39</w:t>
            </w:r>
          </w:hyperlink>
        </w:p>
        <w:p>
          <w:pPr>
            <w:pStyle w:val="TOC2"/>
            <w:tabs>
              <w:tab w:val="clear" w:pos="9463"/>
              <w:tab w:val="right" w:pos="9745" w:leader="dot"/>
            </w:tabs>
            <w:rPr/>
          </w:pPr>
          <w:hyperlink w:anchor="__RefHeading___Toc13083_2869911984">
            <w:r>
              <w:rPr>
                <w:rStyle w:val="IndexLink"/>
              </w:rPr>
              <w:t>7.1 Performance and Capacity (PER)</w:t>
              <w:tab/>
              <w:t>39</w:t>
            </w:r>
          </w:hyperlink>
        </w:p>
        <w:p>
          <w:pPr>
            <w:pStyle w:val="TOC2"/>
            <w:tabs>
              <w:tab w:val="clear" w:pos="9463"/>
              <w:tab w:val="right" w:pos="9745" w:leader="dot"/>
            </w:tabs>
            <w:rPr/>
          </w:pPr>
          <w:hyperlink w:anchor="__RefHeading___Toc13085_2869911984">
            <w:r>
              <w:rPr>
                <w:rStyle w:val="IndexLink"/>
              </w:rPr>
              <w:t>7.2 Availability, Resilience and Disaster Recovery (AVL)</w:t>
              <w:tab/>
              <w:t>39</w:t>
            </w:r>
          </w:hyperlink>
        </w:p>
        <w:p>
          <w:pPr>
            <w:pStyle w:val="TOC2"/>
            <w:tabs>
              <w:tab w:val="clear" w:pos="9463"/>
              <w:tab w:val="right" w:pos="9745" w:leader="dot"/>
            </w:tabs>
            <w:rPr/>
          </w:pPr>
          <w:hyperlink w:anchor="__RefHeading___Toc13087_2869911984">
            <w:r>
              <w:rPr>
                <w:rStyle w:val="IndexLink"/>
              </w:rPr>
              <w:t>7.3 Security (SEC)</w:t>
              <w:tab/>
              <w:t>40</w:t>
            </w:r>
          </w:hyperlink>
        </w:p>
        <w:p>
          <w:pPr>
            <w:pStyle w:val="TOC2"/>
            <w:tabs>
              <w:tab w:val="clear" w:pos="9463"/>
              <w:tab w:val="right" w:pos="9745" w:leader="dot"/>
            </w:tabs>
            <w:rPr/>
          </w:pPr>
          <w:hyperlink w:anchor="__RefHeading___Toc13089_2869911984">
            <w:r>
              <w:rPr>
                <w:rStyle w:val="IndexLink"/>
              </w:rPr>
              <w:t>7.4 Compliance with Bangladesh Bank Cybersecurity Framework v1.0 (2026) (CSF)</w:t>
              <w:tab/>
              <w:t>41</w:t>
            </w:r>
          </w:hyperlink>
        </w:p>
        <w:p>
          <w:pPr>
            <w:pStyle w:val="TOC2"/>
            <w:tabs>
              <w:tab w:val="clear" w:pos="9463"/>
              <w:tab w:val="right" w:pos="9745" w:leader="dot"/>
            </w:tabs>
            <w:rPr/>
          </w:pPr>
          <w:hyperlink w:anchor="__RefHeading___Toc13091_2869911984">
            <w:r>
              <w:rPr>
                <w:rStyle w:val="IndexLink"/>
              </w:rPr>
              <w:t>7.5 Privacy and Data Protection (PRV)</w:t>
              <w:tab/>
              <w:t>41</w:t>
            </w:r>
          </w:hyperlink>
        </w:p>
        <w:p>
          <w:pPr>
            <w:pStyle w:val="TOC2"/>
            <w:tabs>
              <w:tab w:val="clear" w:pos="9463"/>
              <w:tab w:val="right" w:pos="9745" w:leader="dot"/>
            </w:tabs>
            <w:rPr/>
          </w:pPr>
          <w:hyperlink w:anchor="__RefHeading___Toc13093_2869911984">
            <w:r>
              <w:rPr>
                <w:rStyle w:val="IndexLink"/>
              </w:rPr>
              <w:t>7.6 Usability, Accessibility and Localisation (USA)</w:t>
              <w:tab/>
              <w:t>42</w:t>
            </w:r>
          </w:hyperlink>
        </w:p>
        <w:p>
          <w:pPr>
            <w:pStyle w:val="TOC2"/>
            <w:tabs>
              <w:tab w:val="clear" w:pos="9463"/>
              <w:tab w:val="right" w:pos="9745" w:leader="dot"/>
            </w:tabs>
            <w:rPr/>
          </w:pPr>
          <w:hyperlink w:anchor="__RefHeading___Toc13095_2869911984">
            <w:r>
              <w:rPr>
                <w:rStyle w:val="IndexLink"/>
              </w:rPr>
              <w:t>7.7 Maintainability, Supportability and Operations (MNT)</w:t>
              <w:tab/>
              <w:t>42</w:t>
            </w:r>
          </w:hyperlink>
        </w:p>
        <w:p>
          <w:pPr>
            <w:pStyle w:val="TOC2"/>
            <w:tabs>
              <w:tab w:val="clear" w:pos="9463"/>
              <w:tab w:val="right" w:pos="9745" w:leader="dot"/>
            </w:tabs>
            <w:rPr/>
          </w:pPr>
          <w:hyperlink w:anchor="__RefHeading___Toc13097_2869911984">
            <w:r>
              <w:rPr>
                <w:rStyle w:val="IndexLink"/>
              </w:rPr>
              <w:t>7.8 Portability, Interoperability and AI Readiness (POR)</w:t>
              <w:tab/>
              <w:t>43</w:t>
            </w:r>
          </w:hyperlink>
        </w:p>
        <w:p>
          <w:pPr>
            <w:pStyle w:val="TOC2"/>
            <w:tabs>
              <w:tab w:val="clear" w:pos="9463"/>
              <w:tab w:val="right" w:pos="9745" w:leader="dot"/>
            </w:tabs>
            <w:rPr/>
          </w:pPr>
          <w:hyperlink w:anchor="__RefHeading___Toc13099_2869911984">
            <w:r>
              <w:rPr>
                <w:rStyle w:val="IndexLink"/>
              </w:rPr>
              <w:t>7.9 Reliability and Data Integrity (REL)</w:t>
              <w:tab/>
              <w:t>43</w:t>
            </w:r>
          </w:hyperlink>
        </w:p>
        <w:p>
          <w:pPr>
            <w:pStyle w:val="TOC2"/>
            <w:tabs>
              <w:tab w:val="clear" w:pos="9463"/>
              <w:tab w:val="right" w:pos="9745" w:leader="dot"/>
            </w:tabs>
            <w:rPr/>
          </w:pPr>
          <w:hyperlink w:anchor="__RefHeading___Toc13101_2869911984">
            <w:r>
              <w:rPr>
                <w:rStyle w:val="IndexLink"/>
              </w:rPr>
              <w:t>7.10 Quality Assurance and Testing (QA)</w:t>
              <w:tab/>
              <w:t>43</w:t>
            </w:r>
          </w:hyperlink>
        </w:p>
        <w:p>
          <w:pPr>
            <w:pStyle w:val="TOC1"/>
            <w:tabs>
              <w:tab w:val="clear" w:pos="9746"/>
              <w:tab w:val="right" w:pos="9745" w:leader="dot"/>
            </w:tabs>
            <w:rPr/>
          </w:pPr>
          <w:hyperlink w:anchor="__RefHeading___Toc13103_2869911984">
            <w:r>
              <w:rPr>
                <w:rStyle w:val="IndexLink"/>
              </w:rPr>
              <w:t>8. Data Requirements</w:t>
              <w:tab/>
              <w:t>45</w:t>
            </w:r>
          </w:hyperlink>
        </w:p>
        <w:p>
          <w:pPr>
            <w:pStyle w:val="TOC2"/>
            <w:tabs>
              <w:tab w:val="clear" w:pos="9463"/>
              <w:tab w:val="right" w:pos="9745" w:leader="dot"/>
            </w:tabs>
            <w:rPr/>
          </w:pPr>
          <w:hyperlink w:anchor="__RefHeading___Toc13105_2869911984">
            <w:r>
              <w:rPr>
                <w:rStyle w:val="IndexLink"/>
              </w:rPr>
              <w:t>8.1 Key Data Entities</w:t>
              <w:tab/>
              <w:t>45</w:t>
            </w:r>
          </w:hyperlink>
        </w:p>
        <w:p>
          <w:pPr>
            <w:pStyle w:val="TOC2"/>
            <w:tabs>
              <w:tab w:val="clear" w:pos="9463"/>
              <w:tab w:val="right" w:pos="9745" w:leader="dot"/>
            </w:tabs>
            <w:rPr/>
          </w:pPr>
          <w:hyperlink w:anchor="__RefHeading___Toc13107_2869911984">
            <w:r>
              <w:rPr>
                <w:rStyle w:val="IndexLink"/>
              </w:rPr>
              <w:t>8.2 Data Classification</w:t>
              <w:tab/>
              <w:t>45</w:t>
            </w:r>
          </w:hyperlink>
        </w:p>
        <w:p>
          <w:pPr>
            <w:pStyle w:val="TOC2"/>
            <w:tabs>
              <w:tab w:val="clear" w:pos="9463"/>
              <w:tab w:val="right" w:pos="9745" w:leader="dot"/>
            </w:tabs>
            <w:rPr/>
          </w:pPr>
          <w:hyperlink w:anchor="__RefHeading___Toc13109_2869911984">
            <w:r>
              <w:rPr>
                <w:rStyle w:val="IndexLink"/>
              </w:rPr>
              <w:t>8.3 Retention Defaults (configurable, subject to Operator confirmation)</w:t>
              <w:tab/>
              <w:t>45</w:t>
            </w:r>
          </w:hyperlink>
        </w:p>
        <w:p>
          <w:pPr>
            <w:pStyle w:val="TOC2"/>
            <w:tabs>
              <w:tab w:val="clear" w:pos="9463"/>
              <w:tab w:val="right" w:pos="9745" w:leader="dot"/>
            </w:tabs>
            <w:rPr/>
          </w:pPr>
          <w:hyperlink w:anchor="__RefHeading___Toc13111_2869911984">
            <w:r>
              <w:rPr>
                <w:rStyle w:val="IndexLink"/>
              </w:rPr>
              <w:t>8.4 Data Quality and Ownership</w:t>
              <w:tab/>
              <w:t>46</w:t>
            </w:r>
          </w:hyperlink>
        </w:p>
        <w:p>
          <w:pPr>
            <w:pStyle w:val="TOC1"/>
            <w:tabs>
              <w:tab w:val="clear" w:pos="9746"/>
              <w:tab w:val="right" w:pos="9745" w:leader="dot"/>
            </w:tabs>
            <w:rPr/>
          </w:pPr>
          <w:hyperlink w:anchor="__RefHeading___Toc13113_2869911984">
            <w:r>
              <w:rPr>
                <w:rStyle w:val="IndexLink"/>
              </w:rPr>
              <w:t>9. Transition Requirements</w:t>
              <w:tab/>
              <w:t>47</w:t>
            </w:r>
          </w:hyperlink>
        </w:p>
        <w:p>
          <w:pPr>
            <w:pStyle w:val="TOC2"/>
            <w:tabs>
              <w:tab w:val="clear" w:pos="9463"/>
              <w:tab w:val="right" w:pos="9745" w:leader="dot"/>
            </w:tabs>
            <w:rPr/>
          </w:pPr>
          <w:hyperlink w:anchor="__RefHeading___Toc13115_2869911984">
            <w:r>
              <w:rPr>
                <w:rStyle w:val="IndexLink"/>
              </w:rPr>
              <w:t>9.1 Environments</w:t>
              <w:tab/>
              <w:t>47</w:t>
            </w:r>
          </w:hyperlink>
        </w:p>
        <w:p>
          <w:pPr>
            <w:pStyle w:val="TOC2"/>
            <w:tabs>
              <w:tab w:val="clear" w:pos="9463"/>
              <w:tab w:val="right" w:pos="9745" w:leader="dot"/>
            </w:tabs>
            <w:rPr/>
          </w:pPr>
          <w:hyperlink w:anchor="__RefHeading___Toc13117_2869911984">
            <w:r>
              <w:rPr>
                <w:rStyle w:val="IndexLink"/>
              </w:rPr>
              <w:t>9.2 Data Load and Pre-Registration</w:t>
              <w:tab/>
              <w:t>47</w:t>
            </w:r>
          </w:hyperlink>
        </w:p>
        <w:p>
          <w:pPr>
            <w:pStyle w:val="TOC2"/>
            <w:tabs>
              <w:tab w:val="clear" w:pos="9463"/>
              <w:tab w:val="right" w:pos="9745" w:leader="dot"/>
            </w:tabs>
            <w:rPr/>
          </w:pPr>
          <w:hyperlink w:anchor="__RefHeading___Toc13119_2869911984">
            <w:r>
              <w:rPr>
                <w:rStyle w:val="IndexLink"/>
              </w:rPr>
              <w:t>9.3 Training and Knowledge Transfer</w:t>
              <w:tab/>
              <w:t>47</w:t>
            </w:r>
          </w:hyperlink>
        </w:p>
        <w:p>
          <w:pPr>
            <w:pStyle w:val="TOC2"/>
            <w:tabs>
              <w:tab w:val="clear" w:pos="9463"/>
              <w:tab w:val="right" w:pos="9745" w:leader="dot"/>
            </w:tabs>
            <w:rPr/>
          </w:pPr>
          <w:hyperlink w:anchor="__RefHeading___Toc13121_2869911984">
            <w:r>
              <w:rPr>
                <w:rStyle w:val="IndexLink"/>
              </w:rPr>
              <w:t>9.4 Pilot</w:t>
              <w:tab/>
              <w:t>48</w:t>
            </w:r>
          </w:hyperlink>
        </w:p>
        <w:p>
          <w:pPr>
            <w:pStyle w:val="TOC2"/>
            <w:tabs>
              <w:tab w:val="clear" w:pos="9463"/>
              <w:tab w:val="right" w:pos="9745" w:leader="dot"/>
            </w:tabs>
            <w:rPr/>
          </w:pPr>
          <w:hyperlink w:anchor="__RefHeading___Toc13123_2869911984">
            <w:r>
              <w:rPr>
                <w:rStyle w:val="IndexLink"/>
              </w:rPr>
              <w:t>9.5 National Rollout, Hypercare and Acceptance</w:t>
              <w:tab/>
              <w:t>48</w:t>
            </w:r>
          </w:hyperlink>
        </w:p>
        <w:p>
          <w:pPr>
            <w:pStyle w:val="TOC2"/>
            <w:tabs>
              <w:tab w:val="clear" w:pos="9463"/>
              <w:tab w:val="right" w:pos="9745" w:leader="dot"/>
            </w:tabs>
            <w:rPr/>
          </w:pPr>
          <w:hyperlink w:anchor="__RefHeading___Toc13125_2869911984">
            <w:r>
              <w:rPr>
                <w:rStyle w:val="IndexLink"/>
              </w:rPr>
              <w:t>9.6 Exit and Transition Assistance</w:t>
              <w:tab/>
              <w:t>48</w:t>
            </w:r>
          </w:hyperlink>
        </w:p>
        <w:p>
          <w:pPr>
            <w:pStyle w:val="TOC1"/>
            <w:tabs>
              <w:tab w:val="clear" w:pos="9746"/>
              <w:tab w:val="right" w:pos="9745" w:leader="dot"/>
            </w:tabs>
            <w:rPr/>
          </w:pPr>
          <w:hyperlink w:anchor="__RefHeading___Toc13127_2869911984">
            <w:r>
              <w:rPr>
                <w:rStyle w:val="IndexLink"/>
              </w:rPr>
              <w:t>Appendix A — Assumptions Register</w:t>
              <w:tab/>
              <w:t>49</w:t>
            </w:r>
          </w:hyperlink>
        </w:p>
        <w:p>
          <w:pPr>
            <w:pStyle w:val="TOC1"/>
            <w:tabs>
              <w:tab w:val="clear" w:pos="9746"/>
              <w:tab w:val="right" w:pos="9745" w:leader="dot"/>
            </w:tabs>
            <w:rPr/>
          </w:pPr>
          <w:hyperlink w:anchor="__RefHeading___Toc13129_2869911984">
            <w:r>
              <w:rPr>
                <w:rStyle w:val="IndexLink"/>
              </w:rPr>
              <w:t>Appendix B — Open Decisions (TBC)</w:t>
              <w:tab/>
              <w:t>50</w:t>
            </w:r>
          </w:hyperlink>
        </w:p>
        <w:p>
          <w:pPr>
            <w:pStyle w:val="TOC1"/>
            <w:tabs>
              <w:tab w:val="clear" w:pos="9746"/>
              <w:tab w:val="right" w:pos="9745" w:leader="dot"/>
            </w:tabs>
            <w:rPr/>
          </w:pPr>
          <w:hyperlink w:anchor="__RefHeading___Toc13131_2869911984">
            <w:r>
              <w:rPr>
                <w:rStyle w:val="IndexLink"/>
              </w:rPr>
              <w:t>Appendix C — Traceability Matrix (Module → Requirements)</w:t>
              <w:tab/>
              <w:t>51</w:t>
            </w:r>
          </w:hyperlink>
        </w:p>
        <w:p>
          <w:pPr>
            <w:pStyle w:val="TOC1"/>
            <w:tabs>
              <w:tab w:val="clear" w:pos="9746"/>
              <w:tab w:val="right" w:pos="9745" w:leader="dot"/>
            </w:tabs>
            <w:rPr/>
          </w:pPr>
          <w:hyperlink w:anchor="__RefHeading___Toc13133_2869911984">
            <w:r>
              <w:rPr>
                <w:rStyle w:val="IndexLink"/>
              </w:rPr>
              <w:t>Appendix D — KYC Tier and Limit Matrix (Structure)</w:t>
              <w:tab/>
              <w:t>53</w:t>
            </w:r>
          </w:hyperlink>
        </w:p>
        <w:p>
          <w:pPr>
            <w:pStyle w:val="TOC1"/>
            <w:tabs>
              <w:tab w:val="clear" w:pos="9746"/>
              <w:tab w:val="right" w:pos="9745" w:leader="dot"/>
            </w:tabs>
            <w:rPr/>
          </w:pPr>
          <w:hyperlink w:anchor="__RefHeading___Toc13135_2869911984">
            <w:r>
              <w:rPr>
                <w:rStyle w:val="IndexLink"/>
              </w:rPr>
              <w:t>Appendix E — Approval and Sign-Off</w:t>
              <w:tab/>
              <w:t>54</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5" w:name="__RefHeading___Toc12927_2869911984"/>
      <w:bookmarkEnd w:id="5"/>
      <w:r>
        <w:rPr/>
        <w:t>1. Introduction</w:t>
      </w:r>
    </w:p>
    <w:p>
      <w:pPr>
        <w:pStyle w:val="Heading2"/>
        <w:rPr/>
      </w:pPr>
      <w:bookmarkStart w:id="6" w:name="__RefHeading___Toc12929_2869911984"/>
      <w:bookmarkEnd w:id="6"/>
      <w:r>
        <w:rPr/>
        <w:t>1.1 Purpose</w:t>
      </w:r>
    </w:p>
    <w:p>
      <w:pPr>
        <w:pStyle w:val="Normal"/>
        <w:spacing w:before="0" w:after="120"/>
        <w:rPr/>
      </w:pPr>
      <w:r>
        <w:rPr/>
        <w:t>This Software Requirements Specification (SRS) defines the complete functional, non-functional, interface, data and transition requirements for Bits Pay, a Mobile Financial Services (MFS) platform built, deployed and supported by BRAC IT Services Ltd ("BRAC IT") and operated by a Bangladesh Bank-licensed MFS provider ("the Operator"). BRAC IT may itself act as, or partner with, the Operator; the requirements are written so that they hold in either case.</w:t>
      </w:r>
    </w:p>
    <w:p>
      <w:pPr>
        <w:pStyle w:val="Normal"/>
        <w:spacing w:before="0" w:after="120"/>
        <w:rPr/>
      </w:pPr>
      <w:r>
        <w:rPr/>
        <w:t>Once signed off, this SRS becomes the requirements baseline for design, build, configuration, System Integration Testing (SIT), User Acceptance Testing (UAT), Pilot, National Rollout and Final Acceptance. Any change to a baselined requirement after sign-off shall follow the Change Request (CR) process.</w:t>
      </w:r>
    </w:p>
    <w:p>
      <w:pPr>
        <w:pStyle w:val="Heading2"/>
        <w:rPr/>
      </w:pPr>
      <w:bookmarkStart w:id="7" w:name="__RefHeading___Toc12931_2869911984"/>
      <w:bookmarkEnd w:id="7"/>
      <w:r>
        <w:rPr/>
        <w:t>1.2 Scope</w:t>
      </w:r>
    </w:p>
    <w:p>
      <w:pPr>
        <w:pStyle w:val="Normal"/>
        <w:spacing w:before="0" w:after="120"/>
        <w:rPr/>
      </w:pPr>
      <w:r>
        <w:rPr/>
        <w:t>Bits Pay is a Bangladesh Bank-compliant mobile financial services platform that will:</w:t>
      </w:r>
    </w:p>
    <w:p>
      <w:pPr>
        <w:pStyle w:val="ListParagraph"/>
        <w:numPr>
          <w:ilvl w:val="0"/>
          <w:numId w:val="3"/>
        </w:numPr>
        <w:spacing w:before="0" w:after="60"/>
        <w:rPr/>
      </w:pPr>
      <w:r>
        <w:rPr/>
        <w:t>Provide a mass-market e-money wallet to retail customers through a smartphone app, USSD and IVR, sized for about 80 million wallets at maturity and a design peak of 20,000+ business transactions per second.</w:t>
      </w:r>
    </w:p>
    <w:p>
      <w:pPr>
        <w:pStyle w:val="ListParagraph"/>
        <w:numPr>
          <w:ilvl w:val="0"/>
          <w:numId w:val="1"/>
        </w:numPr>
        <w:spacing w:before="0" w:after="60"/>
        <w:rPr/>
      </w:pPr>
      <w:r>
        <w:rPr/>
        <w:t>Provide general digital payment services: wallet-to-wallet, wallet-to-bank, wallet-to-MFS (via NPSB and Binimoy), merchant (Bangla QR) payments, bill payments, mobile recharge, P2G payments, bulk salary/G2P disbursement and domestic/inbound international remittance.</w:t>
      </w:r>
    </w:p>
    <w:p>
      <w:pPr>
        <w:pStyle w:val="ListParagraph"/>
        <w:numPr>
          <w:ilvl w:val="0"/>
          <w:numId w:val="1"/>
        </w:numPr>
        <w:spacing w:before="0" w:after="60"/>
        <w:rPr/>
      </w:pPr>
      <w:r>
        <w:rPr/>
        <w:t>Operate a cash-in/cash-out (CICO) network through agents, super-agents, merchant-agents, distributors and partner banks.</w:t>
      </w:r>
    </w:p>
    <w:p>
      <w:pPr>
        <w:pStyle w:val="ListParagraph"/>
        <w:numPr>
          <w:ilvl w:val="0"/>
          <w:numId w:val="1"/>
        </w:numPr>
        <w:spacing w:before="0" w:after="60"/>
        <w:rPr/>
      </w:pPr>
      <w:r>
        <w:rPr/>
        <w:t>Provide the back-office, risk, compliance, reconciliation, settlement, reporting and security capabilities required to operate as a regulated e-money issuer under Bangladesh Bank supervision.</w:t>
      </w:r>
    </w:p>
    <w:p>
      <w:pPr>
        <w:pStyle w:val="Normal"/>
        <w:spacing w:before="0" w:after="120"/>
        <w:rPr/>
      </w:pPr>
      <w:r>
        <w:rPr/>
        <w:t>The platform is delivered as a production-grade, configurable product based on BRAC IT's existing wallet platform, integrated with partner banks, NPSB, Binimoy, Bangla QR, e-KYC, bill aggregators, payment gateways, remittance partners and the Operator's security operations environment.</w:t>
      </w:r>
    </w:p>
    <w:p>
      <w:pPr>
        <w:pStyle w:val="Normal"/>
        <w:spacing w:before="0" w:after="120"/>
        <w:rPr/>
      </w:pPr>
      <w:r>
        <w:rPr>
          <w:b/>
          <w:bCs/>
        </w:rPr>
        <w:t>In scope of this SRS:</w:t>
      </w:r>
      <w:r>
        <w:rPr/>
        <w:t xml:space="preserve"> all customer, partner, back-office, risk, compliance, integration and operational capabilities of a standard MFS. Microfinance-specific capabilities (core MIS integration, MFI savings and loan servicing, digital passbook, group collection and field-officer assisted services) and lending or savings products are out of scope.</w:t>
      </w:r>
    </w:p>
    <w:p>
      <w:pPr>
        <w:pStyle w:val="Normal"/>
        <w:spacing w:before="0" w:after="120"/>
        <w:rPr/>
      </w:pPr>
      <w:r>
        <w:rPr>
          <w:b/>
          <w:bCs/>
        </w:rPr>
        <w:t>Out of scope of this SRS:</w:t>
      </w:r>
      <w:r>
        <w:rPr/>
        <w:t xml:space="preserve"> commercial, licensing, IPR, pricing and contractual terms, which are governed by the relevant contract, work order and SLA. Where those terms create a system obligation (for example, data hand-over at contract exit), the obligation is captured here as a requirement.</w:t>
      </w:r>
    </w:p>
    <w:p>
      <w:pPr>
        <w:pStyle w:val="Heading2"/>
        <w:rPr/>
      </w:pPr>
      <w:bookmarkStart w:id="8" w:name="__RefHeading___Toc12933_2869911984"/>
      <w:bookmarkEnd w:id="8"/>
      <w:r>
        <w:rPr/>
        <w:t>1.3 Intended Audience</w:t>
      </w:r>
    </w:p>
    <w:tbl>
      <w:tblPr>
        <w:tblW w:w="9746" w:type="dxa"/>
        <w:jc w:val="left"/>
        <w:tblInd w:w="0" w:type="dxa"/>
        <w:tblLayout w:type="fixed"/>
        <w:tblCellMar>
          <w:top w:w="50" w:type="dxa"/>
          <w:left w:w="90" w:type="dxa"/>
          <w:bottom w:w="50" w:type="dxa"/>
          <w:right w:w="90" w:type="dxa"/>
        </w:tblCellMar>
      </w:tblPr>
      <w:tblGrid>
        <w:gridCol w:w="3481"/>
        <w:gridCol w:w="6264"/>
      </w:tblGrid>
      <w:tr>
        <w:trPr>
          <w:tblHeader w:val="true"/>
        </w:trPr>
        <w:tc>
          <w:tcPr>
            <w:tcW w:w="348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Audience</w:t>
            </w:r>
          </w:p>
        </w:tc>
        <w:tc>
          <w:tcPr>
            <w:tcW w:w="626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Use of this document</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 Owner &amp; Operator Business team</w:t>
            </w:r>
          </w:p>
        </w:tc>
        <w:tc>
          <w:tcPr>
            <w:tcW w:w="62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Validate that business needs are fully and correctly captured; sign-off</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Compliance, AML &amp; Risk</w:t>
            </w:r>
          </w:p>
        </w:tc>
        <w:tc>
          <w:tcPr>
            <w:tcW w:w="62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Validate regulatory, KYC, AML/CFT, fraud and limit requirements</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CISO / IT Security</w:t>
            </w:r>
          </w:p>
        </w:tc>
        <w:tc>
          <w:tcPr>
            <w:tcW w:w="62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Validate security, cybersecurity framework and SIEM/SOC requirements</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Operations &amp; Customer Service</w:t>
            </w:r>
          </w:p>
        </w:tc>
        <w:tc>
          <w:tcPr>
            <w:tcW w:w="62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Validate back-office, support, dispute and partner-management requirements</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Finance &amp; Treasury</w:t>
            </w:r>
          </w:p>
        </w:tc>
        <w:tc>
          <w:tcPr>
            <w:tcW w:w="62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Validate ledger, e-money, settlement, reconciliation and GL requirements</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Solution Architects &amp; Developers</w:t>
            </w:r>
          </w:p>
        </w:tc>
        <w:tc>
          <w:tcPr>
            <w:tcW w:w="62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Design and build against this baseline</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&amp; Operator QA / UAT teams</w:t>
            </w:r>
          </w:p>
        </w:tc>
        <w:tc>
          <w:tcPr>
            <w:tcW w:w="62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Derive test cases; every requirement is uniquely identified and testable</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Auditors / Bangladesh Bank inspection</w:t>
            </w:r>
          </w:p>
        </w:tc>
        <w:tc>
          <w:tcPr>
            <w:tcW w:w="62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Evidence of documented, controlled requirements</w:t>
            </w:r>
          </w:p>
        </w:tc>
      </w:tr>
    </w:tbl>
    <w:p>
      <w:pPr>
        <w:pStyle w:val="Normal"/>
        <w:spacing w:before="0" w:after="120"/>
        <w:rPr/>
      </w:pPr>
      <w:r>
        <w:rPr/>
      </w:r>
    </w:p>
    <w:p>
      <w:pPr>
        <w:pStyle w:val="Heading2"/>
        <w:rPr/>
      </w:pPr>
      <w:bookmarkStart w:id="9" w:name="__RefHeading___Toc12935_2869911984"/>
      <w:bookmarkEnd w:id="9"/>
      <w:r>
        <w:rPr/>
        <w:t>1.4 Definitions, Acronyms and Abbreviations</w:t>
      </w:r>
    </w:p>
    <w:tbl>
      <w:tblPr>
        <w:tblW w:w="9746" w:type="dxa"/>
        <w:jc w:val="left"/>
        <w:tblInd w:w="0" w:type="dxa"/>
        <w:tblLayout w:type="fixed"/>
        <w:tblCellMar>
          <w:top w:w="50" w:type="dxa"/>
          <w:left w:w="90" w:type="dxa"/>
          <w:bottom w:w="50" w:type="dxa"/>
          <w:right w:w="90" w:type="dxa"/>
        </w:tblCellMar>
      </w:tblPr>
      <w:tblGrid>
        <w:gridCol w:w="1999"/>
        <w:gridCol w:w="7746"/>
      </w:tblGrid>
      <w:tr>
        <w:trPr>
          <w:tblHeader w:val="true"/>
        </w:trPr>
        <w:tc>
          <w:tcPr>
            <w:tcW w:w="1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Term</w:t>
            </w:r>
          </w:p>
        </w:tc>
        <w:tc>
          <w:tcPr>
            <w:tcW w:w="774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Definition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Accounting Period</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calendar month of the fiscal year in the general ledger; once closed, nothing dated in it can change (GLD-026)</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AML/CFT</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Anti-Money Laundering / Combating the Financing of Terrorism</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BB</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BFIU</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Financial Intelligence Unit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BGD e-GOV CIRT</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Government Computer Incident Response Team</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Binimoy</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Bank's interoperable digital transaction platform connecting banks, MFS and PSPs</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Business Day / Day Close</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accounting day bounded by the configured EOD cut-off; the general ledger closes each business day with control checks (GLD-014, GLD-015)</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Chart of Accounts (CoA)</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Operator's hierarchy of general-ledger accounts (assets, liabilities, equity, income, expenses), owned by the General Ledger service; distinct from the ledger's internal account types</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CICO</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Cash-In / Cash-Out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CTR / STR / SAR</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 Transaction Report / Suspicious Transaction Report / Suspicious Activity Report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 natural person holding a Bits Pay customer wallet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DC / DR</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Data Centre / Disaster Recovery site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e-KYC</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Electronic Know Your Customer using EC NID-based verification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e-Money</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Electronic money issued by the Operator against 1:1 funds in trust/settlement accounts</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EC NID</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Election Commission National Identity Database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GL</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General Ledger — the Operator's official books (chart of accounts, journals, period close, financial statements), kept by the General Ledger service (4.34)</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Certification</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Independent confirmation by reconciliation that a closed GL day ties out to the ledger (GL tie-out, REC-012)</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HSM</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Hardware Security Module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Journal</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balanced set of general-ledger debit and credit lines (ledger day, manual, accrual, reversal, opening balance or year-end close)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Ledger Day Journal</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one journal per business day that the General Ledger derives from all committed ledger postings of that day</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Maker-Checker</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Four-eyes control: one user initiates (maker), a different authorised user approves (checker)</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MFS</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Financial Services (e.g. bKash, Nagad, Rocket)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NLQ</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Natural Language Query</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NPSB</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National Payment Switch Bangladesh</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OTP</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One-Time Password</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Bangladesh Bank-licensed MFS provider that operates the Bits Pay service and issues e-money</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P2P / P2B / P2G / G2P</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Person-to-Person / Person-to-Business / Person-to-Government / Government-to-Person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Collective term for agent, merchant, distributor and institutional partner</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PEP</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Politically Exposed Person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Posting Rule</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Versioned, effective-dated data that maps a ledger leg (account type, side, transaction code) to a chart-of-accounts account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PSP / PSO</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Payment Service Provider / Payment System Operator</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RBAC</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Role-Based Access Control</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RPO / RTO</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Recovery Point Objective / Recovery Time Objective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SIEM / SOC</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Security Information &amp; Event Management / Security Operations Centre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TPS</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Transactions Per Second</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Trial Balance</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List of every GL account with opening, movement and closing debit and credit; total debits equal total credits</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Trust / Settlement Account</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Designated bank account(s) holding funds that back e-money 1:1</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USSD / IVR</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Unstructured Supplementary Service Data / Interactive Voice Response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Wallet</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Bits Pay e-money account held by a customer, agent, merchant, distributor, institutional partner or system</w:t>
            </w:r>
          </w:p>
        </w:tc>
      </w:tr>
    </w:tbl>
    <w:p>
      <w:pPr>
        <w:pStyle w:val="Normal"/>
        <w:spacing w:before="0" w:after="120"/>
        <w:rPr/>
      </w:pPr>
      <w:r>
        <w:rPr/>
      </w:r>
    </w:p>
    <w:p>
      <w:pPr>
        <w:pStyle w:val="Heading2"/>
        <w:rPr/>
      </w:pPr>
      <w:bookmarkStart w:id="10" w:name="__RefHeading___Toc12937_2869911984"/>
      <w:bookmarkEnd w:id="10"/>
      <w:r>
        <w:rPr/>
        <w:t>1.5 References</w:t>
      </w:r>
    </w:p>
    <w:tbl>
      <w:tblPr>
        <w:tblW w:w="9746" w:type="dxa"/>
        <w:jc w:val="left"/>
        <w:tblInd w:w="0" w:type="dxa"/>
        <w:tblLayout w:type="fixed"/>
        <w:tblCellMar>
          <w:top w:w="50" w:type="dxa"/>
          <w:left w:w="90" w:type="dxa"/>
          <w:bottom w:w="50" w:type="dxa"/>
          <w:right w:w="90" w:type="dxa"/>
        </w:tblCellMar>
      </w:tblPr>
      <w:tblGrid>
        <w:gridCol w:w="768"/>
        <w:gridCol w:w="7864"/>
        <w:gridCol w:w="1114"/>
      </w:tblGrid>
      <w:tr>
        <w:trPr>
          <w:tblHeader w:val="true"/>
        </w:trPr>
        <w:tc>
          <w:tcPr>
            <w:tcW w:w="76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w:t>
            </w:r>
          </w:p>
        </w:tc>
        <w:tc>
          <w:tcPr>
            <w:tcW w:w="786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Document</w:t>
            </w:r>
          </w:p>
        </w:tc>
        <w:tc>
          <w:tcPr>
            <w:tcW w:w="111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Version / Date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REF-01</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Platform Architecture and Data Flow</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v3 — 14 October 2026</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REF-02</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 Mobile Financial Services (MFS) Regulations and related DFS circulars</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REF-03</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 Cybersecurity Framework v1.0 (2026), BRPD Circular No. 02</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2026</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REF-04</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 Payment &amp; Settlement Systems Regulations, Binimoy and NPSB participation rules</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REF-05</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Money Laundering Prevention Act 2012 (as amended), Anti-Terrorism Act 2009 (as amended) and BFIU circulars / e-KYC Guidelines</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REF-06</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 QR Standard and NPSB scheme rules</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REF-07</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 ICT Security Guideline for banks and financial institutions</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REF-08</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Personal data protection law/ordinance of Bangladesh in force at go-live</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REF-09</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ISO/IEC/IEEE 29148 — Requirements engineering (structure of this SRS)</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2018</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REF-10</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OWASP ASVS 4.x / OWASP MASVS (application security verification)</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REF-11</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PCI-DSS v4.0 (for scope boundary of card add-money)</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v4.0.1</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REF-12</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general-ledger-service specification (SVC-16), Service Specs v6</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Contract 1.0.0 — 13 October 2026</w:t>
            </w:r>
          </w:p>
        </w:tc>
      </w:tr>
    </w:tbl>
    <w:p>
      <w:pPr>
        <w:pStyle w:val="Normal"/>
        <w:spacing w:before="0" w:after="120"/>
        <w:rPr/>
      </w:pPr>
      <w:r>
        <w:rPr/>
      </w:r>
    </w:p>
    <w:p>
      <w:pPr>
        <w:pStyle w:val="Heading2"/>
        <w:rPr/>
      </w:pPr>
      <w:bookmarkStart w:id="11" w:name="__RefHeading___Toc12939_2869911984"/>
      <w:bookmarkEnd w:id="11"/>
      <w:r>
        <w:rPr/>
        <w:t>1.6 Document Conventions</w:t>
      </w:r>
    </w:p>
    <w:p>
      <w:pPr>
        <w:pStyle w:val="Normal"/>
        <w:spacing w:before="0" w:after="120"/>
        <w:rPr/>
      </w:pPr>
      <w:r>
        <w:rPr>
          <w:b/>
          <w:bCs/>
        </w:rPr>
        <w:t>Requirement identifiers.</w:t>
      </w:r>
      <w:r>
        <w:rPr/>
        <w:t xml:space="preserve"> Every requirement has a unique ID in the form </w:t>
      </w:r>
      <w:r>
        <w:rPr>
          <w:rFonts w:eastAsia="Consolas" w:cs="Consolas" w:ascii="Consolas" w:hAnsi="Consolas"/>
        </w:rPr>
        <w:t>&lt;AREA&gt;-&lt;nnn&gt;</w:t>
      </w:r>
      <w:r>
        <w:rPr/>
        <w:t xml:space="preserve"> (for example </w:t>
      </w:r>
      <w:r>
        <w:rPr>
          <w:rFonts w:eastAsia="Consolas" w:cs="Consolas" w:ascii="Consolas" w:hAnsi="Consolas"/>
        </w:rPr>
        <w:t>ONB-004</w:t>
      </w:r>
      <w:r>
        <w:rPr/>
        <w:t>). IDs are permanent: a deleted requirement keeps its ID and is marked "Withdrawn"; it is never reused.</w:t>
      </w:r>
    </w:p>
    <w:p>
      <w:pPr>
        <w:pStyle w:val="Normal"/>
        <w:spacing w:before="0" w:after="120"/>
        <w:rPr/>
      </w:pPr>
      <w:r>
        <w:rPr>
          <w:b/>
          <w:bCs/>
        </w:rPr>
        <w:t>Normative language.</w:t>
      </w:r>
      <w:r>
        <w:rPr/>
        <w:t xml:space="preserve"> "Shall" denotes a mandatory requirement. "Should" denotes a strongly desired requirement. "May" denotes an optional capability.</w:t>
      </w:r>
    </w:p>
    <w:p>
      <w:pPr>
        <w:pStyle w:val="Normal"/>
        <w:spacing w:before="0" w:after="120"/>
        <w:rPr/>
      </w:pPr>
      <w:r>
        <w:rPr>
          <w:b/>
          <w:bCs/>
        </w:rPr>
        <w:t>Priority (Pri)</w:t>
      </w:r>
      <w:r>
        <w:rPr/>
        <w:t xml:space="preserve"> — MoSCoW:</w:t>
      </w:r>
    </w:p>
    <w:tbl>
      <w:tblPr>
        <w:tblW w:w="9746" w:type="dxa"/>
        <w:jc w:val="left"/>
        <w:tblInd w:w="0" w:type="dxa"/>
        <w:tblLayout w:type="fixed"/>
        <w:tblCellMar>
          <w:top w:w="50" w:type="dxa"/>
          <w:left w:w="90" w:type="dxa"/>
          <w:bottom w:w="50" w:type="dxa"/>
          <w:right w:w="90" w:type="dxa"/>
        </w:tblCellMar>
      </w:tblPr>
      <w:tblGrid>
        <w:gridCol w:w="999"/>
        <w:gridCol w:w="8746"/>
      </w:tblGrid>
      <w:tr>
        <w:trPr>
          <w:tblHeader w:val="true"/>
        </w:trPr>
        <w:tc>
          <w:tcPr>
            <w:tcW w:w="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Code</w:t>
            </w:r>
          </w:p>
        </w:tc>
        <w:tc>
          <w:tcPr>
            <w:tcW w:w="874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Meaning</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w:t>
            </w:r>
          </w:p>
        </w:tc>
        <w:tc>
          <w:tcPr>
            <w:tcW w:w="8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Must have — required for the release indicated; release cannot go live without it</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w:t>
            </w:r>
          </w:p>
        </w:tc>
        <w:tc>
          <w:tcPr>
            <w:tcW w:w="8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Should have — important; may be deferred to the next release only with Product Owner written approval</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w:t>
            </w:r>
          </w:p>
        </w:tc>
        <w:tc>
          <w:tcPr>
            <w:tcW w:w="8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Could have — desirable; delivered if time permits within scope, otherwise planned for a later release</w:t>
            </w:r>
          </w:p>
        </w:tc>
      </w:tr>
    </w:tbl>
    <w:p>
      <w:pPr>
        <w:pStyle w:val="Normal"/>
        <w:spacing w:before="0" w:after="120"/>
        <w:rPr/>
      </w:pPr>
      <w:r>
        <w:rPr/>
      </w:r>
    </w:p>
    <w:p>
      <w:pPr>
        <w:pStyle w:val="Normal"/>
        <w:spacing w:before="0" w:after="120"/>
        <w:rPr/>
      </w:pPr>
      <w:r>
        <w:rPr>
          <w:b/>
          <w:bCs/>
        </w:rPr>
        <w:t>Release (Rel)</w:t>
      </w:r>
      <w:r>
        <w:rPr/>
        <w:t xml:space="preserve"> — the release in which the requirement is first delivered:</w:t>
      </w:r>
    </w:p>
    <w:tbl>
      <w:tblPr>
        <w:tblW w:w="9746" w:type="dxa"/>
        <w:jc w:val="left"/>
        <w:tblInd w:w="0" w:type="dxa"/>
        <w:tblLayout w:type="fixed"/>
        <w:tblCellMar>
          <w:top w:w="50" w:type="dxa"/>
          <w:left w:w="90" w:type="dxa"/>
          <w:bottom w:w="50" w:type="dxa"/>
          <w:right w:w="90" w:type="dxa"/>
        </w:tblCellMar>
      </w:tblPr>
      <w:tblGrid>
        <w:gridCol w:w="800"/>
        <w:gridCol w:w="2399"/>
        <w:gridCol w:w="6547"/>
      </w:tblGrid>
      <w:tr>
        <w:trPr>
          <w:tblHeader w:val="true"/>
        </w:trPr>
        <w:tc>
          <w:tcPr>
            <w:tcW w:w="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Code</w:t>
            </w:r>
          </w:p>
        </w:tc>
        <w:tc>
          <w:tcPr>
            <w:tcW w:w="23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Release</w:t>
            </w:r>
          </w:p>
        </w:tc>
        <w:tc>
          <w:tcPr>
            <w:tcW w:w="654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R1</w:t>
            </w:r>
          </w:p>
        </w:tc>
        <w:tc>
          <w:tcPr>
            <w:tcW w:w="23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Pilot (Launch) Release</w:t>
            </w:r>
          </w:p>
        </w:tc>
        <w:tc>
          <w:tcPr>
            <w:tcW w:w="65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Minimum regulated MFS for the controlled Pilot</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R2</w:t>
            </w:r>
          </w:p>
        </w:tc>
        <w:tc>
          <w:tcPr>
            <w:tcW w:w="23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National Rollout Release</w:t>
            </w:r>
          </w:p>
        </w:tc>
        <w:tc>
          <w:tcPr>
            <w:tcW w:w="65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Complete product scope required for nationwide rollout</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R3</w:t>
            </w:r>
          </w:p>
        </w:tc>
        <w:tc>
          <w:tcPr>
            <w:tcW w:w="23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Enhancement Release</w:t>
            </w:r>
          </w:p>
        </w:tc>
        <w:tc>
          <w:tcPr>
            <w:tcW w:w="65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Advanced analytics, ML-based risk scoring and other forward-looking items, delivered after National Rollout within the agreed scope</w:t>
            </w:r>
          </w:p>
        </w:tc>
      </w:tr>
    </w:tbl>
    <w:p>
      <w:pPr>
        <w:pStyle w:val="Normal"/>
        <w:spacing w:before="0" w:after="120"/>
        <w:rPr/>
      </w:pPr>
      <w:r>
        <w:rPr/>
      </w:r>
    </w:p>
    <w:p>
      <w:pPr>
        <w:pStyle w:val="Normal"/>
        <w:spacing w:before="0" w:after="120"/>
        <w:rPr/>
      </w:pPr>
      <w:r>
        <w:rPr>
          <w:b/>
          <w:bCs/>
        </w:rPr>
        <w:t>Reference architecture</w:t>
      </w:r>
      <w:r>
        <w:rPr/>
        <w:t xml:space="preserve"> — technical targets in this SRS (throughput, latency, availability, topology) are aligned with the Bits Pay Platform Architecture and Data Flow document (REF-01). Where that document leaves a decision open, the item is listed in Appendix B.</w:t>
      </w:r>
    </w:p>
    <w:p>
      <w:pPr>
        <w:pStyle w:val="Normal"/>
        <w:spacing w:before="0" w:after="120"/>
        <w:rPr/>
      </w:pPr>
      <w:r>
        <w:rPr>
          <w:b/>
          <w:bCs/>
        </w:rPr>
        <w:t>Configurable</w:t>
      </w:r>
      <w:r>
        <w:rPr/>
        <w:t xml:space="preserve"> means changeable by an authorised Operator back-office user through the user interface, subject to maker-checker approval, without code change or redeployment.</w:t>
      </w:r>
    </w:p>
    <w:p>
      <w:pPr>
        <w:pStyle w:val="Normal"/>
        <w:spacing w:before="0" w:after="120"/>
        <w:rPr/>
      </w:pPr>
      <w:r>
        <w:rPr>
          <w:b/>
          <w:bCs/>
        </w:rPr>
        <w:t>TBC</w:t>
      </w:r>
      <w:r>
        <w:rPr/>
        <w:t xml:space="preserve"> marks a value that must be confirmed by the Product Owner or the Operator before the requirement is baselined. All TBC items are listed in Appendix B.</w:t>
      </w:r>
    </w:p>
    <w:p>
      <w:pPr>
        <w:pStyle w:val="Heading2"/>
        <w:rPr/>
      </w:pPr>
      <w:bookmarkStart w:id="12" w:name="__RefHeading___Toc12941_2869911984"/>
      <w:bookmarkEnd w:id="12"/>
      <w:r>
        <w:rPr/>
        <w:t>1.7 Document Overview</w:t>
      </w:r>
    </w:p>
    <w:p>
      <w:pPr>
        <w:pStyle w:val="ListParagraph"/>
        <w:numPr>
          <w:ilvl w:val="0"/>
          <w:numId w:val="1"/>
        </w:numPr>
        <w:spacing w:before="0" w:after="60"/>
        <w:rPr/>
      </w:pPr>
      <w:r>
        <w:rPr/>
        <w:t>Section 2 describes the product context, stakeholders, user classes, operating environment, constraints and release plan.</w:t>
      </w:r>
    </w:p>
    <w:p>
      <w:pPr>
        <w:pStyle w:val="ListParagraph"/>
        <w:numPr>
          <w:ilvl w:val="0"/>
          <w:numId w:val="1"/>
        </w:numPr>
        <w:spacing w:before="0" w:after="60"/>
        <w:rPr/>
      </w:pPr>
      <w:r>
        <w:rPr/>
        <w:t>Section 3 gives the logical solution overview that frames the requirements.</w:t>
      </w:r>
    </w:p>
    <w:p>
      <w:pPr>
        <w:pStyle w:val="ListParagraph"/>
        <w:numPr>
          <w:ilvl w:val="0"/>
          <w:numId w:val="1"/>
        </w:numPr>
        <w:spacing w:before="0" w:after="60"/>
        <w:rPr/>
      </w:pPr>
      <w:r>
        <w:rPr/>
        <w:t>Section 4 specifies the functional requirements, module by module.</w:t>
      </w:r>
    </w:p>
    <w:p>
      <w:pPr>
        <w:pStyle w:val="ListParagraph"/>
        <w:numPr>
          <w:ilvl w:val="0"/>
          <w:numId w:val="1"/>
        </w:numPr>
        <w:spacing w:before="0" w:after="60"/>
        <w:rPr/>
      </w:pPr>
      <w:r>
        <w:rPr/>
        <w:t>Section 5 specifies key end-to-end use cases.</w:t>
      </w:r>
    </w:p>
    <w:p>
      <w:pPr>
        <w:pStyle w:val="ListParagraph"/>
        <w:numPr>
          <w:ilvl w:val="0"/>
          <w:numId w:val="1"/>
        </w:numPr>
        <w:spacing w:before="0" w:after="60"/>
        <w:rPr/>
      </w:pPr>
      <w:r>
        <w:rPr/>
        <w:t>Section 6 specifies external interface requirements, including the integration catalogue.</w:t>
      </w:r>
    </w:p>
    <w:p>
      <w:pPr>
        <w:pStyle w:val="ListParagraph"/>
        <w:numPr>
          <w:ilvl w:val="0"/>
          <w:numId w:val="1"/>
        </w:numPr>
        <w:spacing w:before="0" w:after="60"/>
        <w:rPr/>
      </w:pPr>
      <w:r>
        <w:rPr/>
        <w:t>Section 7 specifies non-functional requirements (performance, availability, security, cybersecurity framework, usability, etc.).</w:t>
      </w:r>
    </w:p>
    <w:p>
      <w:pPr>
        <w:pStyle w:val="ListParagraph"/>
        <w:numPr>
          <w:ilvl w:val="0"/>
          <w:numId w:val="1"/>
        </w:numPr>
        <w:spacing w:before="0" w:after="60"/>
        <w:rPr/>
      </w:pPr>
      <w:r>
        <w:rPr/>
        <w:t>Section 8 specifies data requirements.</w:t>
      </w:r>
    </w:p>
    <w:p>
      <w:pPr>
        <w:pStyle w:val="ListParagraph"/>
        <w:numPr>
          <w:ilvl w:val="0"/>
          <w:numId w:val="1"/>
        </w:numPr>
        <w:spacing w:before="0" w:after="60"/>
        <w:rPr/>
      </w:pPr>
      <w:r>
        <w:rPr/>
        <w:t>Section 9 specifies transition requirements (environments, data load, training, pilot, acceptance).</w:t>
      </w:r>
    </w:p>
    <w:p>
      <w:pPr>
        <w:pStyle w:val="ListParagraph"/>
        <w:numPr>
          <w:ilvl w:val="0"/>
          <w:numId w:val="1"/>
        </w:numPr>
        <w:spacing w:before="0" w:after="60"/>
        <w:rPr/>
      </w:pPr>
      <w:r>
        <w:rPr/>
        <w:t>Appendix A lists working assumptions; Appendix B lists open decisions (TBC); Appendix C provides the module-to-requirement traceability matrix; Appendix D contains the proposed KYC tier and limit matrix structure; Appendix E is the sign-off page.</w:t>
      </w:r>
    </w:p>
    <w:p>
      <w:pPr>
        <w:pStyle w:val="Normal"/>
        <w:rPr/>
      </w:pPr>
      <w:r>
        <w:rPr/>
      </w:r>
      <w:r>
        <w:br w:type="page"/>
      </w:r>
    </w:p>
    <w:p>
      <w:pPr>
        <w:pStyle w:val="Heading1"/>
        <w:spacing w:before="0" w:after="160"/>
        <w:rPr/>
      </w:pPr>
      <w:bookmarkStart w:id="13" w:name="__RefHeading___Toc12943_2869911984"/>
      <w:bookmarkEnd w:id="13"/>
      <w:r>
        <w:rPr/>
        <w:t>2. Overall Description</w:t>
      </w:r>
    </w:p>
    <w:p>
      <w:pPr>
        <w:pStyle w:val="Heading2"/>
        <w:rPr/>
      </w:pPr>
      <w:bookmarkStart w:id="14" w:name="__RefHeading___Toc12945_2869911984"/>
      <w:bookmarkEnd w:id="14"/>
      <w:r>
        <w:rPr/>
        <w:t>2.1 Product Perspective</w:t>
      </w:r>
    </w:p>
    <w:p>
      <w:pPr>
        <w:pStyle w:val="Normal"/>
        <w:spacing w:before="0" w:after="120"/>
        <w:rPr/>
      </w:pPr>
      <w:r>
        <w:rPr/>
        <w:t>Bits Pay is a regulated mobile financial service operated by the Operator. It connects retail customers, agents, merchants, distributors and institutional partners with the national payment ecosystem (banks, NPSB, Binimoy, Bangla QR, other MFS, billers, remittance partners). Bits Pay is the system of record for e-money balances, wallet transactions, partner (agent/merchant/distributor) network data and payment-related compliance records.</w:t>
      </w:r>
    </w:p>
    <w:p>
      <w:pPr>
        <w:pStyle w:val="Normal"/>
        <w:spacing w:before="0" w:after="120"/>
        <w:rPr/>
      </w:pPr>
      <w:r>
        <w:rPr>
          <w:b/>
          <w:bCs/>
        </w:rPr>
        <w:t>System context — external actors and systems</w:t>
      </w:r>
    </w:p>
    <w:tbl>
      <w:tblPr>
        <w:tblW w:w="9746" w:type="dxa"/>
        <w:jc w:val="left"/>
        <w:tblInd w:w="0" w:type="dxa"/>
        <w:tblLayout w:type="fixed"/>
        <w:tblCellMar>
          <w:top w:w="50" w:type="dxa"/>
          <w:left w:w="90" w:type="dxa"/>
          <w:bottom w:w="50" w:type="dxa"/>
          <w:right w:w="90" w:type="dxa"/>
        </w:tblCellMar>
      </w:tblPr>
      <w:tblGrid>
        <w:gridCol w:w="3365"/>
        <w:gridCol w:w="869"/>
        <w:gridCol w:w="5512"/>
      </w:tblGrid>
      <w:tr>
        <w:trPr>
          <w:tblHeader w:val="true"/>
        </w:trPr>
        <w:tc>
          <w:tcPr>
            <w:tcW w:w="336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Context element</w:t>
            </w:r>
          </w:p>
        </w:tc>
        <w:tc>
          <w:tcPr>
            <w:tcW w:w="86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Type</w:t>
            </w:r>
          </w:p>
        </w:tc>
        <w:tc>
          <w:tcPr>
            <w:tcW w:w="5512"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Relationship with Bits Pay</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Customers</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Human actor</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Use the customer app, USSD, IVR or chatbot to hold and use a wallet</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Agents, Merchants, Distributors</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Human actor</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Provide CICO and accept payments via partner app and web portal</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Operations, Finance, Compliance, Risk, Support</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Human actor</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Operate the platform via the back office</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ERP / Accounting</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Receives the daily GL journal file from the General Ledger service (the Operator's official books, derived from the wallet ledger)</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EC NID / e-KYC service provider</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Identity verification, photo/face match</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 / Settlement banks</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Trust/settlement accounts, wallet-to-bank, add-money from bank, settlement</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NPSB (via sponsor bank) and Binimoy</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Interoperable fund transfer to/from banks, MFS and PSPs</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 QR scheme</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QR payments (issuing and acquiring)</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Payment Gateway / Card acquirer</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Card-funded add-money (PCI-DSS scope held by gateway)</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ekPay / direct billers</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Utility bills, education fees, government fees</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Mobile operators / top-up aggregator</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Mobile recharge</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Remittance partners (banks / RSPs)</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Inbound international remittance credit</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Corporates / institutional disbursers</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actor</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Bulk salary, G2P and institutional disbursements via portal or API</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SMS gateway, email service, push service (FCM)</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Notifications and OTP</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USSD aggregator / IVR platform</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Assisted digital channels</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Sanctions / PEP list sources</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Screening data</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SIEM / SOC</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Security log ingestion, monitoring, incident response</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 / BFIU (goAML)</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Regulator</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Regulatory reports, STR/CTR submission</w:t>
            </w:r>
          </w:p>
        </w:tc>
      </w:tr>
    </w:tbl>
    <w:p>
      <w:pPr>
        <w:pStyle w:val="Normal"/>
        <w:spacing w:before="0" w:after="120"/>
        <w:rPr/>
      </w:pPr>
      <w:r>
        <w:rPr/>
      </w:r>
    </w:p>
    <w:p>
      <w:pPr>
        <w:pStyle w:val="Heading2"/>
        <w:rPr/>
      </w:pPr>
      <w:bookmarkStart w:id="15" w:name="__RefHeading___Toc12947_2869911984"/>
      <w:bookmarkEnd w:id="15"/>
      <w:r>
        <w:rPr/>
        <w:t>2.2 Business Objectives</w:t>
      </w:r>
    </w:p>
    <w:tbl>
      <w:tblPr>
        <w:tblW w:w="9746" w:type="dxa"/>
        <w:jc w:val="left"/>
        <w:tblInd w:w="0" w:type="dxa"/>
        <w:tblLayout w:type="fixed"/>
        <w:tblCellMar>
          <w:top w:w="50" w:type="dxa"/>
          <w:left w:w="90" w:type="dxa"/>
          <w:bottom w:w="50" w:type="dxa"/>
          <w:right w:w="90" w:type="dxa"/>
        </w:tblCellMar>
      </w:tblPr>
      <w:tblGrid>
        <w:gridCol w:w="800"/>
        <w:gridCol w:w="3999"/>
        <w:gridCol w:w="4947"/>
      </w:tblGrid>
      <w:tr>
        <w:trPr>
          <w:tblHeader w:val="true"/>
        </w:trPr>
        <w:tc>
          <w:tcPr>
            <w:tcW w:w="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3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Objective</w:t>
            </w:r>
          </w:p>
        </w:tc>
        <w:tc>
          <w:tcPr>
            <w:tcW w:w="494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Measure of success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BO-1</w:t>
            </w:r>
          </w:p>
        </w:tc>
        <w:tc>
          <w:tcPr>
            <w:tcW w:w="3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Provide a secure, low-cost digital wallet for the mass market</w:t>
            </w:r>
          </w:p>
        </w:tc>
        <w:tc>
          <w:tcPr>
            <w:tcW w:w="49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Registered and active wallets (30-day); about 80 million wallets at maturity</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BO-2</w:t>
            </w:r>
          </w:p>
        </w:tc>
        <w:tc>
          <w:tcPr>
            <w:tcW w:w="3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Expand access to digital transactions for low-income, rural and women users</w:t>
            </w:r>
          </w:p>
        </w:tc>
        <w:tc>
          <w:tcPr>
            <w:tcW w:w="49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Active wallets (30-day), transactions per active wallet</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BO-3</w:t>
            </w:r>
          </w:p>
        </w:tc>
        <w:tc>
          <w:tcPr>
            <w:tcW w:w="3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Operate a compliant, secure, Bangladesh Bank-approved e-money service</w:t>
            </w:r>
          </w:p>
        </w:tc>
        <w:tc>
          <w:tcPr>
            <w:tcW w:w="49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Zero critical regulatory findings; 1:1 e-money backing reconciled daily</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BO-4</w:t>
            </w:r>
          </w:p>
        </w:tc>
        <w:tc>
          <w:tcPr>
            <w:tcW w:w="3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Build a scalable CICO and merchant network</w:t>
            </w:r>
          </w:p>
        </w:tc>
        <w:tc>
          <w:tcPr>
            <w:tcW w:w="49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Number of active agents/merchants; agent liquidity availability</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BO-5</w:t>
            </w:r>
          </w:p>
        </w:tc>
        <w:tc>
          <w:tcPr>
            <w:tcW w:w="3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Digitise salary, G2P and merchant payments to reduce cash use</w:t>
            </w:r>
          </w:p>
        </w:tc>
        <w:tc>
          <w:tcPr>
            <w:tcW w:w="49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Share of bulk disbursement and merchant payment value in total transactions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BO-6</w:t>
            </w:r>
          </w:p>
        </w:tc>
        <w:tc>
          <w:tcPr>
            <w:tcW w:w="3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Provide data and insights for decision-making</w:t>
            </w:r>
          </w:p>
        </w:tc>
        <w:tc>
          <w:tcPr>
            <w:tcW w:w="49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Availability of dashboards, regulatory reports on schedule, analytics adoption</w:t>
            </w:r>
          </w:p>
        </w:tc>
      </w:tr>
    </w:tbl>
    <w:p>
      <w:pPr>
        <w:pStyle w:val="Normal"/>
        <w:spacing w:before="0" w:after="120"/>
        <w:rPr/>
      </w:pPr>
      <w:r>
        <w:rPr/>
      </w:r>
    </w:p>
    <w:p>
      <w:pPr>
        <w:pStyle w:val="Heading2"/>
        <w:rPr/>
      </w:pPr>
      <w:bookmarkStart w:id="16" w:name="__RefHeading___Toc12949_2869911984"/>
      <w:bookmarkEnd w:id="16"/>
      <w:r>
        <w:rPr/>
        <w:t>2.3 Product Functions (Summary)</w:t>
      </w:r>
    </w:p>
    <w:tbl>
      <w:tblPr>
        <w:tblW w:w="9746" w:type="dxa"/>
        <w:jc w:val="left"/>
        <w:tblInd w:w="0" w:type="dxa"/>
        <w:tblLayout w:type="fixed"/>
        <w:tblCellMar>
          <w:top w:w="50" w:type="dxa"/>
          <w:left w:w="90" w:type="dxa"/>
          <w:bottom w:w="50" w:type="dxa"/>
          <w:right w:w="90" w:type="dxa"/>
        </w:tblCellMar>
      </w:tblPr>
      <w:tblGrid>
        <w:gridCol w:w="1402"/>
        <w:gridCol w:w="5673"/>
        <w:gridCol w:w="2671"/>
      </w:tblGrid>
      <w:tr>
        <w:trPr>
          <w:tblHeader w:val="true"/>
        </w:trPr>
        <w:tc>
          <w:tcPr>
            <w:tcW w:w="1402"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Function group</w:t>
            </w:r>
          </w:p>
        </w:tc>
        <w:tc>
          <w:tcPr>
            <w:tcW w:w="5673"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Key capabilities</w:t>
            </w:r>
          </w:p>
        </w:tc>
        <w:tc>
          <w:tcPr>
            <w:tcW w:w="267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SRS section</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Onboarding &amp; identity</w:t>
            </w:r>
          </w:p>
        </w:tc>
        <w:tc>
          <w:tcPr>
            <w:tcW w:w="567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e-KYC, tiered KYC, partner onboarding, screening</w:t>
            </w:r>
          </w:p>
        </w:tc>
        <w:tc>
          <w:tcPr>
            <w:tcW w:w="267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4.1, 4.12</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core</w:t>
            </w:r>
          </w:p>
        </w:tc>
        <w:tc>
          <w:tcPr>
            <w:tcW w:w="56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Multi-ledger, e-money issuance/redemption, fees, limits &amp; tiers</w:t>
            </w:r>
          </w:p>
        </w:tc>
        <w:tc>
          <w:tcPr>
            <w:tcW w:w="26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4.2, 4.22, 4.26, 4.32</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Payments</w:t>
            </w:r>
          </w:p>
        </w:tc>
        <w:tc>
          <w:tcPr>
            <w:tcW w:w="567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P2P, P2B, P2G, bank, MFS (NPSB/Binimoy), Bangla QR, bills, recharge, remittance, add money, bulk disbursement</w:t>
            </w:r>
          </w:p>
        </w:tc>
        <w:tc>
          <w:tcPr>
            <w:tcW w:w="267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4.3–4.7, 4.18</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Network</w:t>
            </w:r>
          </w:p>
        </w:tc>
        <w:tc>
          <w:tcPr>
            <w:tcW w:w="56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Agents, merchants, distributors, CICO, commissions, liquidity &amp; float, portal</w:t>
            </w:r>
          </w:p>
        </w:tc>
        <w:tc>
          <w:tcPr>
            <w:tcW w:w="26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4.5, 4.10, 4.11, 4.13, 4.21, 4.28</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Channels &amp; CX</w:t>
            </w:r>
          </w:p>
        </w:tc>
        <w:tc>
          <w:tcPr>
            <w:tcW w:w="567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Android and iOS apps, USSD, IVR, chatbot, customer support, notifications</w:t>
            </w:r>
          </w:p>
        </w:tc>
        <w:tc>
          <w:tcPr>
            <w:tcW w:w="267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4.8, 4.9, 4.19</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Operations</w:t>
            </w:r>
          </w:p>
        </w:tc>
        <w:tc>
          <w:tcPr>
            <w:tcW w:w="56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Back office, reconciliation &amp; settlement, general ledger &amp; accounting (official books, period close, financial statements, ERP export), campaigns, reporting &amp; analytics</w:t>
            </w:r>
          </w:p>
        </w:tc>
        <w:tc>
          <w:tcPr>
            <w:tcW w:w="26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4.14, 4.15, 4.20, 4.23, 4.34</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Risk &amp; security</w:t>
            </w:r>
          </w:p>
        </w:tc>
        <w:tc>
          <w:tcPr>
            <w:tcW w:w="567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Authentication, device/session control, fraud engine, AML/CFT, audit trail, retention</w:t>
            </w:r>
          </w:p>
        </w:tc>
        <w:tc>
          <w:tcPr>
            <w:tcW w:w="267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4.16, 4.17, 4.24, 4.25, 4.27, 4.30, 4.31</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w:t>
            </w:r>
          </w:p>
        </w:tc>
        <w:tc>
          <w:tcPr>
            <w:tcW w:w="56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 gateway and integration management</w:t>
            </w:r>
          </w:p>
        </w:tc>
        <w:tc>
          <w:tcPr>
            <w:tcW w:w="26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4.29</w:t>
            </w:r>
          </w:p>
        </w:tc>
      </w:tr>
    </w:tbl>
    <w:p>
      <w:pPr>
        <w:pStyle w:val="Normal"/>
        <w:spacing w:before="0" w:after="120"/>
        <w:rPr/>
      </w:pPr>
      <w:r>
        <w:rPr/>
      </w:r>
    </w:p>
    <w:p>
      <w:pPr>
        <w:pStyle w:val="Heading2"/>
        <w:rPr/>
      </w:pPr>
      <w:bookmarkStart w:id="17" w:name="__RefHeading___Toc12951_2869911984"/>
      <w:bookmarkEnd w:id="17"/>
      <w:r>
        <w:rPr/>
        <w:t>2.4 User Classes and Characteristics</w:t>
      </w:r>
    </w:p>
    <w:tbl>
      <w:tblPr>
        <w:tblW w:w="9746" w:type="dxa"/>
        <w:jc w:val="left"/>
        <w:tblInd w:w="0" w:type="dxa"/>
        <w:tblLayout w:type="fixed"/>
        <w:tblCellMar>
          <w:top w:w="50" w:type="dxa"/>
          <w:left w:w="90" w:type="dxa"/>
          <w:bottom w:w="50" w:type="dxa"/>
          <w:right w:w="90" w:type="dxa"/>
        </w:tblCellMar>
      </w:tblPr>
      <w:tblGrid>
        <w:gridCol w:w="1151"/>
        <w:gridCol w:w="2033"/>
        <w:gridCol w:w="1957"/>
        <w:gridCol w:w="4604"/>
      </w:tblGrid>
      <w:tr>
        <w:trPr>
          <w:tblHeader w:val="true"/>
        </w:trPr>
        <w:tc>
          <w:tcPr>
            <w:tcW w:w="115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User class</w:t>
            </w:r>
          </w:p>
        </w:tc>
        <w:tc>
          <w:tcPr>
            <w:tcW w:w="2033"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c>
          <w:tcPr>
            <w:tcW w:w="195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Primary channel(s)</w:t>
            </w:r>
          </w:p>
        </w:tc>
        <w:tc>
          <w:tcPr>
            <w:tcW w:w="460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Characteristics / design implications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(smartphone)</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Retail customer with an Android or iOS smartphone</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app</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Mass-market, including rural, women and first-time users with low-to-moderate digital literacy; Bangla-first, icon-led, minimal typing, voice guidance</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(feature phone)</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without a smartphone</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USSD, IVR, SMS</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Must be able to check balance, send money, cash out, pay bills and receive alerts without an app</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Retailer or authorised outlet providing CICO</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app, web portal, USSD</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Needs fast CICO, float visibility, commission view</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Shop/service provider accepting payments</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 app, web portal, static/dynamic QR</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Needs payment notification, settlement view, QR management</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Distributor / Sub-distributor</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Manages agents/merchants and liquidity in a territory</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app, web portal</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Needs network monitoring, float allocation, commission view</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Institutional partner / Biller</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Organisation paying or receiving bulk funds (employer salary, G2P, billers)</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Web portal / API</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Bulk upload, settlement reports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operator</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operations users</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web</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Transaction monitoring, reversals, partner management, configuration (maker-checker)</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support agent</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Contact-centre and helpdesk staff</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web (support console)</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lookup, complaints, disputes, account actions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Finance &amp; Treasury</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Settlement, reconciliation, e-money, general ledger &amp; accounting</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web</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Daily reconciliation, settlement approvals, trust account monitoring; GL day/month/year close, manual journals, trial balance, balance sheet and P&amp;L</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Compliance / AML officer</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AML/CFT, screening, regulatory reporting</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web</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Alerts, case management, STR/CTR, regulatory reports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Risk / Fraud analyst</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Fraud rules and cases</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web</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Rule configuration, case investigation, blacklists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System administrator</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Platform administration</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web, ops tools</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Users, roles, parameters, monitoring; no access to financial approval functions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Auditor (internal/external/BB)</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Read-only inspection</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web (read-only role)</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trails, reports, configuration history</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Management</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Senior management of the Operator</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Dashboards</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KPI dashboards, NLQ analytics</w:t>
            </w:r>
          </w:p>
        </w:tc>
      </w:tr>
    </w:tbl>
    <w:p>
      <w:pPr>
        <w:pStyle w:val="Normal"/>
        <w:spacing w:before="0" w:after="120"/>
        <w:rPr/>
      </w:pPr>
      <w:r>
        <w:rPr/>
      </w:r>
    </w:p>
    <w:p>
      <w:pPr>
        <w:pStyle w:val="Heading2"/>
        <w:rPr/>
      </w:pPr>
      <w:bookmarkStart w:id="18" w:name="__RefHeading___Toc12953_2869911984"/>
      <w:bookmarkEnd w:id="18"/>
      <w:r>
        <w:rPr/>
        <w:t>2.5 Operating Environment</w:t>
      </w:r>
    </w:p>
    <w:p>
      <w:pPr>
        <w:pStyle w:val="ListParagraph"/>
        <w:numPr>
          <w:ilvl w:val="0"/>
          <w:numId w:val="1"/>
        </w:numPr>
        <w:spacing w:before="0" w:after="60"/>
        <w:rPr/>
      </w:pPr>
      <w:r>
        <w:rPr>
          <w:b/>
          <w:bCs/>
        </w:rPr>
        <w:t>Hosting:</w:t>
      </w:r>
      <w:r>
        <w:rPr/>
        <w:t xml:space="preserve"> Production on-premise in Bangladesh across three sites — a primary data centre (DC1) and a metro secondary (DC2) that both serve live traffic, plus a disaster recovery (DR) site in another city.</w:t>
      </w:r>
    </w:p>
    <w:p>
      <w:pPr>
        <w:pStyle w:val="ListParagraph"/>
        <w:numPr>
          <w:ilvl w:val="0"/>
          <w:numId w:val="1"/>
        </w:numPr>
        <w:spacing w:before="0" w:after="60"/>
        <w:rPr/>
      </w:pPr>
      <w:r>
        <w:rPr>
          <w:b/>
          <w:bCs/>
        </w:rPr>
        <w:t>Server platform:</w:t>
      </w:r>
      <w:r>
        <w:rPr/>
        <w:t xml:space="preserve"> Linux (supported enterprise distribution), container orchestration (Kubernetes or equivalent) for stateless application services, dedicated servers for the ledger and transactional databases.</w:t>
      </w:r>
    </w:p>
    <w:p>
      <w:pPr>
        <w:pStyle w:val="ListParagraph"/>
        <w:numPr>
          <w:ilvl w:val="0"/>
          <w:numId w:val="1"/>
        </w:numPr>
        <w:spacing w:before="0" w:after="60"/>
        <w:rPr/>
      </w:pPr>
      <w:r>
        <w:rPr>
          <w:b/>
          <w:bCs/>
        </w:rPr>
        <w:t>Customer mobile app:</w:t>
      </w:r>
      <w:r>
        <w:rPr/>
        <w:t xml:space="preserve"> Android 8.0 (API 26) and above, subject to the technology-currency constraint (see C-06); iOS 15+ (R2).</w:t>
      </w:r>
    </w:p>
    <w:p>
      <w:pPr>
        <w:pStyle w:val="ListParagraph"/>
        <w:numPr>
          <w:ilvl w:val="0"/>
          <w:numId w:val="1"/>
        </w:numPr>
        <w:spacing w:before="0" w:after="60"/>
        <w:rPr/>
      </w:pPr>
      <w:r>
        <w:rPr>
          <w:b/>
          <w:bCs/>
        </w:rPr>
        <w:t>Partner app:</w:t>
      </w:r>
      <w:r>
        <w:rPr/>
        <w:t xml:space="preserve"> Android 8.0 (API 26) and above.</w:t>
      </w:r>
    </w:p>
    <w:p>
      <w:pPr>
        <w:pStyle w:val="ListParagraph"/>
        <w:numPr>
          <w:ilvl w:val="0"/>
          <w:numId w:val="1"/>
        </w:numPr>
        <w:spacing w:before="0" w:after="60"/>
        <w:rPr/>
      </w:pPr>
      <w:r>
        <w:rPr>
          <w:b/>
          <w:bCs/>
        </w:rPr>
        <w:t>Web portals (back office, partner portal):</w:t>
      </w:r>
      <w:r>
        <w:rPr/>
        <w:t xml:space="preserve"> current and previous major versions of Google Chrome, Microsoft Edge and Mozilla Firefox; responsive down to 1280×720 for back office and 360px width for the partner portal.</w:t>
      </w:r>
    </w:p>
    <w:p>
      <w:pPr>
        <w:pStyle w:val="ListParagraph"/>
        <w:numPr>
          <w:ilvl w:val="0"/>
          <w:numId w:val="1"/>
        </w:numPr>
        <w:spacing w:before="0" w:after="60"/>
        <w:rPr/>
      </w:pPr>
      <w:r>
        <w:rPr>
          <w:b/>
          <w:bCs/>
        </w:rPr>
        <w:t>USSD:</w:t>
      </w:r>
      <w:r>
        <w:rPr/>
        <w:t xml:space="preserve"> GSM USSD sessions via an Operator-contracted aggregator on all major Bangladeshi MNOs; screens limited to 182 characters; Bangla (Unicode) and English menus where the operator supports Unicode, otherwise Banglish/English.</w:t>
      </w:r>
    </w:p>
    <w:p>
      <w:pPr>
        <w:pStyle w:val="ListParagraph"/>
        <w:numPr>
          <w:ilvl w:val="0"/>
          <w:numId w:val="1"/>
        </w:numPr>
        <w:spacing w:before="0" w:after="60"/>
        <w:rPr/>
      </w:pPr>
      <w:r>
        <w:rPr>
          <w:b/>
          <w:bCs/>
        </w:rPr>
        <w:t>Network conditions:</w:t>
      </w:r>
      <w:r>
        <w:rPr/>
        <w:t xml:space="preserve"> apps shall be usable on 2G/EDGE and intermittent 3G/4G connectivity typical of rural Bangladesh.</w:t>
      </w:r>
    </w:p>
    <w:p>
      <w:pPr>
        <w:pStyle w:val="Heading2"/>
        <w:rPr/>
      </w:pPr>
      <w:bookmarkStart w:id="19" w:name="__RefHeading___Toc12955_2869911984"/>
      <w:bookmarkEnd w:id="19"/>
      <w:r>
        <w:rPr/>
        <w:t>2.6 Design and Implementation Constraints</w:t>
      </w:r>
    </w:p>
    <w:tbl>
      <w:tblPr>
        <w:tblW w:w="9746" w:type="dxa"/>
        <w:jc w:val="left"/>
        <w:tblInd w:w="0" w:type="dxa"/>
        <w:tblLayout w:type="fixed"/>
        <w:tblCellMar>
          <w:top w:w="50" w:type="dxa"/>
          <w:left w:w="90" w:type="dxa"/>
          <w:bottom w:w="50" w:type="dxa"/>
          <w:right w:w="90" w:type="dxa"/>
        </w:tblCellMar>
      </w:tblPr>
      <w:tblGrid>
        <w:gridCol w:w="800"/>
        <w:gridCol w:w="8945"/>
      </w:tblGrid>
      <w:tr>
        <w:trPr>
          <w:tblHeader w:val="true"/>
        </w:trPr>
        <w:tc>
          <w:tcPr>
            <w:tcW w:w="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8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Constraint</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C-01</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services shall operate strictly within the Operator's Bangladesh Bank MFS licence and service approvals; any service not yet approved shall be deployable but disabled by configuration until approval is granted.</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C-02</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 shall not offer credit, savings or other deposit products of its own; any such product requires a separately approved scope and licence.</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C-03</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customer and transaction data shall be stored and processed within Bangladesh. No production personal data shall leave Bangladesh, including for analytics or AI services.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C-04</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solution shall be based on BRAC IT's existing production-proven wallet platform, extended and configured; a greenfield rewrite of core components requires architecture review approval.</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C-05</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Architecture shall be modular and API-driven (REST/JSON) and horizontally scalable.</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C-06</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 obsolete, deprecated or end-of-life technology component shall be used at deployment or during the support period. Where a mandated minimum (e.g. Android 8.0) conflicts with this, the Product Owner shall decide the supported floor; until then the app shall support Android 8.0+ while the build toolchain targets the latest Google Play-required API level.</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C-07</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platform and BRAC IT's delivery/support environment shall comply with the BB Cybersecurity Framework v1.0 (2026) by 31 December 2026 or the go-live date, whichever is later.</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C-08</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Card data (PAN, CVV, track data) shall never be stored, processed or transmitted by Bits Pay servers; card capture shall occur on the PCI-DSS-certified gateway's hosted page/SDK.</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C-09</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configuration of limits, fees, rules and thresholds shall be possible without code change (rules engine).</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C-10</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Operator data created or processed by the platform is the exclusive property of the Operator and shall be exportable in open formats.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C-11</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Money shall move in one place only: the authoritative double-entry ledger. All other components request, prepare or react to ledger postings and never change balances themselves (REF-01).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C-12</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Production shall be hosted on-premise in Bangladesh across DC1, DC2 and a DR site (REF-01).</w:t>
            </w:r>
          </w:p>
        </w:tc>
      </w:tr>
    </w:tbl>
    <w:p>
      <w:pPr>
        <w:pStyle w:val="Normal"/>
        <w:spacing w:before="0" w:after="120"/>
        <w:rPr/>
      </w:pPr>
      <w:r>
        <w:rPr/>
      </w:r>
    </w:p>
    <w:p>
      <w:pPr>
        <w:pStyle w:val="Heading2"/>
        <w:rPr/>
      </w:pPr>
      <w:bookmarkStart w:id="20" w:name="__RefHeading___Toc12957_2869911984"/>
      <w:bookmarkEnd w:id="20"/>
      <w:r>
        <w:rPr/>
        <w:t>2.7 Release Plan</w:t>
      </w:r>
    </w:p>
    <w:tbl>
      <w:tblPr>
        <w:tblW w:w="9746" w:type="dxa"/>
        <w:jc w:val="left"/>
        <w:tblInd w:w="0" w:type="dxa"/>
        <w:tblLayout w:type="fixed"/>
        <w:tblCellMar>
          <w:top w:w="50" w:type="dxa"/>
          <w:left w:w="90" w:type="dxa"/>
          <w:bottom w:w="50" w:type="dxa"/>
          <w:right w:w="90" w:type="dxa"/>
        </w:tblCellMar>
      </w:tblPr>
      <w:tblGrid>
        <w:gridCol w:w="1023"/>
        <w:gridCol w:w="2875"/>
        <w:gridCol w:w="5848"/>
      </w:tblGrid>
      <w:tr>
        <w:trPr>
          <w:tblHeader w:val="true"/>
        </w:trPr>
        <w:tc>
          <w:tcPr>
            <w:tcW w:w="1023"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Release</w:t>
            </w:r>
          </w:p>
        </w:tc>
        <w:tc>
          <w:tcPr>
            <w:tcW w:w="287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Timing</w:t>
            </w:r>
          </w:p>
        </w:tc>
        <w:tc>
          <w:tcPr>
            <w:tcW w:w="584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Scope summary</w:t>
            </w:r>
          </w:p>
        </w:tc>
      </w:tr>
      <w:tr>
        <w:trPr>
          <w:cantSplit w:val="true"/>
        </w:trPr>
        <w:tc>
          <w:tcPr>
            <w:tcW w:w="102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R1 — Pilot</w:t>
            </w:r>
          </w:p>
        </w:tc>
        <w:tc>
          <w:tcPr>
            <w:tcW w:w="287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Pilot Go-Live (controlled launch)</w:t>
            </w:r>
          </w:p>
        </w:tc>
        <w:tc>
          <w:tcPr>
            <w:tcW w:w="584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onboarding &amp; e-KYC, wallet &amp; ledger, e-money, P2P, CICO via agents, Bangla QR merchant payment, add money from bank (NPSB), wallet-to-bank, mobile recharge, ekPay bill payment, authentication &amp; device control, limits &amp; tiers, fees, rule-based fraud, AML screening and monitoring, notifications, customer support &amp; disputes, back office, reconciliation &amp; settlement, core regulatory reports, audit trail, API gateway, USSD (core menus), SIEM integration</w:t>
            </w:r>
          </w:p>
        </w:tc>
      </w:tr>
      <w:tr>
        <w:trPr>
          <w:cantSplit w:val="true"/>
        </w:trPr>
        <w:tc>
          <w:tcPr>
            <w:tcW w:w="102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R2 — National Rollout</w:t>
            </w:r>
          </w:p>
        </w:tc>
        <w:tc>
          <w:tcPr>
            <w:tcW w:w="287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National Rollout</w:t>
            </w:r>
          </w:p>
        </w:tc>
        <w:tc>
          <w:tcPr>
            <w:tcW w:w="584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Distributor module and hierarchical commissions, full partner portal, wallet-to-MFS (NPSB/Binimoy), card add-money, inbound international remittance, P2G, bulk salary/G2P disbursement, campaign management, iOS app, IVR, Bangla chatbot, full regulatory report catalogue, liquidity dashboard enhancements, archiving</w:t>
            </w:r>
          </w:p>
        </w:tc>
      </w:tr>
      <w:tr>
        <w:trPr>
          <w:cantSplit w:val="true"/>
        </w:trPr>
        <w:tc>
          <w:tcPr>
            <w:tcW w:w="102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R3 — Enhancement</w:t>
            </w:r>
          </w:p>
        </w:tc>
        <w:tc>
          <w:tcPr>
            <w:tcW w:w="287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Post National Rollout, before Final Acceptance or as agreed</w:t>
            </w:r>
          </w:p>
        </w:tc>
        <w:tc>
          <w:tcPr>
            <w:tcW w:w="584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NLQ analytics, predictive analytics (liquidity shortfall, churn), ML-based fraud risk scoring, voice assistance, digital donations/community payments</w:t>
            </w:r>
          </w:p>
        </w:tc>
      </w:tr>
    </w:tbl>
    <w:p>
      <w:pPr>
        <w:pStyle w:val="Normal"/>
        <w:spacing w:before="0" w:after="120"/>
        <w:rPr/>
      </w:pPr>
      <w:r>
        <w:rPr/>
      </w:r>
    </w:p>
    <w:p>
      <w:pPr>
        <w:pStyle w:val="Heading2"/>
        <w:rPr/>
      </w:pPr>
      <w:bookmarkStart w:id="21" w:name="__RefHeading___Toc12959_2869911984"/>
      <w:bookmarkEnd w:id="21"/>
      <w:r>
        <w:rPr/>
        <w:t>2.8 User Documentation</w:t>
      </w:r>
    </w:p>
    <w:p>
      <w:pPr>
        <w:pStyle w:val="Normal"/>
        <w:spacing w:before="0" w:after="120"/>
        <w:rPr/>
      </w:pPr>
      <w:r>
        <w:rPr/>
        <w:t>BRAC IT shall deliver, in English and (for end-user material) Bangla: customer quick guides and in-app help; agent/merchant/distributor guides; back-office user manuals per role; administrator and operations manuals (runbooks); API and integration specifications; security and compliance documentation; training materials and schedules.</w:t>
      </w:r>
    </w:p>
    <w:p>
      <w:pPr>
        <w:pStyle w:val="Heading2"/>
        <w:rPr/>
      </w:pPr>
      <w:bookmarkStart w:id="22" w:name="__RefHeading___Toc12961_2869911984"/>
      <w:bookmarkEnd w:id="22"/>
      <w:r>
        <w:rPr/>
        <w:t>2.9 Assumptions and Dependencies</w:t>
      </w:r>
    </w:p>
    <w:p>
      <w:pPr>
        <w:pStyle w:val="Normal"/>
        <w:spacing w:before="0" w:after="120"/>
        <w:rPr/>
      </w:pPr>
      <w:r>
        <w:rPr/>
        <w:t>This SRS is a draft product baseline. Open points have been resolved with explicit working assumptions so that the specification is complete. All assumptions are listed in Appendix A; open decisions are listed in Appendix B. If a decision differs from an assumption, the affected requirements shall be updated through a controlled SRS revision before baselining, or through a CR after baselining.</w:t>
      </w:r>
    </w:p>
    <w:p>
      <w:pPr>
        <w:pStyle w:val="Normal"/>
        <w:spacing w:before="0" w:after="120"/>
        <w:rPr/>
      </w:pPr>
      <w:r>
        <w:rPr/>
        <w:t>Key dependencies:</w:t>
      </w:r>
    </w:p>
    <w:p>
      <w:pPr>
        <w:pStyle w:val="ListParagraph"/>
        <w:numPr>
          <w:ilvl w:val="0"/>
          <w:numId w:val="1"/>
        </w:numPr>
        <w:spacing w:before="0" w:after="60"/>
        <w:rPr/>
      </w:pPr>
      <w:r>
        <w:rPr/>
        <w:t>Bangladesh Bank MFS licence and service approvals held by the Operator for each service.</w:t>
      </w:r>
    </w:p>
    <w:p>
      <w:pPr>
        <w:pStyle w:val="ListParagraph"/>
        <w:numPr>
          <w:ilvl w:val="0"/>
          <w:numId w:val="1"/>
        </w:numPr>
        <w:spacing w:before="0" w:after="60"/>
        <w:rPr/>
      </w:pPr>
      <w:r>
        <w:rPr/>
        <w:t>Participation in and connectivity to NPSB (via a sponsor bank), Binimoy and the Bangla QR scheme, with the related scheme certifications.</w:t>
      </w:r>
    </w:p>
    <w:p>
      <w:pPr>
        <w:pStyle w:val="ListParagraph"/>
        <w:numPr>
          <w:ilvl w:val="0"/>
          <w:numId w:val="1"/>
        </w:numPr>
        <w:spacing w:before="0" w:after="60"/>
        <w:rPr/>
      </w:pPr>
      <w:r>
        <w:rPr/>
        <w:t>Contracts and technical onboarding with partner/sponsor banks, NPSB, Bangla QR, e-KYC provider, ekPay, payment gateway, remittance partners, SMS/USSD/IVR providers and MNOs.</w:t>
      </w:r>
    </w:p>
    <w:p>
      <w:pPr>
        <w:pStyle w:val="ListParagraph"/>
        <w:numPr>
          <w:ilvl w:val="0"/>
          <w:numId w:val="1"/>
        </w:numPr>
        <w:spacing w:before="0" w:after="60"/>
        <w:rPr/>
      </w:pPr>
      <w:r>
        <w:rPr/>
        <w:t>Provision of DC1, DC2 and DR infrastructure, network connectivity, and the Operator's security tools (WAF, PAM, SIEM, etc.).</w:t>
      </w:r>
    </w:p>
    <w:p>
      <w:pPr>
        <w:pStyle w:val="ListParagraph"/>
        <w:numPr>
          <w:ilvl w:val="0"/>
          <w:numId w:val="1"/>
        </w:numPr>
        <w:spacing w:before="0" w:after="60"/>
        <w:rPr/>
      </w:pPr>
      <w:r>
        <w:rPr/>
        <w:t>Timely availability of Operator subject-matter experts (compliance, finance, operations) for workshops, UAT and pilot.</w:t>
      </w:r>
    </w:p>
    <w:p>
      <w:pPr>
        <w:pStyle w:val="Normal"/>
        <w:rPr/>
      </w:pPr>
      <w:r>
        <w:rPr/>
      </w:r>
      <w:r>
        <w:br w:type="page"/>
      </w:r>
    </w:p>
    <w:p>
      <w:pPr>
        <w:pStyle w:val="Heading1"/>
        <w:spacing w:before="0" w:after="160"/>
        <w:rPr/>
      </w:pPr>
      <w:bookmarkStart w:id="23" w:name="__RefHeading___Toc12963_2869911984"/>
      <w:bookmarkEnd w:id="23"/>
      <w:r>
        <w:rPr/>
        <w:t>3. Solution Overview</w:t>
      </w:r>
    </w:p>
    <w:p>
      <w:pPr>
        <w:pStyle w:val="Normal"/>
        <w:spacing w:before="0" w:after="120"/>
        <w:rPr/>
      </w:pPr>
      <w:r>
        <w:rPr/>
        <w:t>This section provides the logical view needed to read the requirements. The technical design is described in the Bits Pay Platform Architecture and Data Flow document (REF-01); the detailed Solution Architecture Document (SAD) and DC/DR deployment architecture shall conform to this SRS.</w:t>
      </w:r>
    </w:p>
    <w:p>
      <w:pPr>
        <w:pStyle w:val="Heading2"/>
        <w:rPr/>
      </w:pPr>
      <w:bookmarkStart w:id="24" w:name="__RefHeading___Toc12965_2869911984"/>
      <w:bookmarkEnd w:id="24"/>
      <w:r>
        <w:rPr/>
        <w:t>3.1 Logical Layers</w:t>
      </w:r>
    </w:p>
    <w:tbl>
      <w:tblPr>
        <w:tblW w:w="9746" w:type="dxa"/>
        <w:jc w:val="left"/>
        <w:tblInd w:w="0" w:type="dxa"/>
        <w:tblLayout w:type="fixed"/>
        <w:tblCellMar>
          <w:top w:w="50" w:type="dxa"/>
          <w:left w:w="90" w:type="dxa"/>
          <w:bottom w:w="50" w:type="dxa"/>
          <w:right w:w="90" w:type="dxa"/>
        </w:tblCellMar>
      </w:tblPr>
      <w:tblGrid>
        <w:gridCol w:w="1568"/>
        <w:gridCol w:w="8177"/>
      </w:tblGrid>
      <w:tr>
        <w:trPr>
          <w:tblHeader w:val="true"/>
        </w:trPr>
        <w:tc>
          <w:tcPr>
            <w:tcW w:w="156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Layer</w:t>
            </w:r>
          </w:p>
        </w:tc>
        <w:tc>
          <w:tcPr>
            <w:tcW w:w="817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Components</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Channel layer</w:t>
            </w:r>
          </w:p>
        </w:tc>
        <w:tc>
          <w:tcPr>
            <w:tcW w:w="81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app (Android, iOS); Partner app (agent / merchant / distributor / field sales mode); Partner web portal; Back-office web; USSD gateway adaptor; IVR adaptor; Chatbot</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Edge &amp; security layer</w:t>
            </w:r>
          </w:p>
        </w:tc>
        <w:tc>
          <w:tcPr>
            <w:tcW w:w="81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WAF, DDoS protection, API Gateway (OAuth 2.0, rate limiting, throttling), mobile app attestation, TLS termination</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Business services layer</w:t>
            </w:r>
          </w:p>
        </w:tc>
        <w:tc>
          <w:tcPr>
            <w:tcW w:w="81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&amp; KYC service; Partner management; Wallet &amp; account service; Transaction orchestration; Fee &amp; commission engine; Limit &amp; tier engine; Rules engine; Bulk disbursement service; Bill &amp; recharge service; Remittance service; Campaign service; Notification service; Dispute &amp; case management</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Core ledger layer</w:t>
            </w:r>
          </w:p>
        </w:tc>
        <w:tc>
          <w:tcPr>
            <w:tcW w:w="81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Double-entry real-time ledger (customer, agent, merchant, distributor, institutional and system ledgers) as the single place where money moves; e-money issuance/redemption control. General Ledger service: the Operator's official books (chart of accounts, posting rules, day/month/year close, trial balance, balance sheet, P&amp;L, ERP export), derived only from committed ledger postings — it never moves money</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Risk &amp; compliance layer</w:t>
            </w:r>
          </w:p>
        </w:tc>
        <w:tc>
          <w:tcPr>
            <w:tcW w:w="81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Fraud management engine; AML transaction monitoring; Sanctions/PEP screening; Case management; Regulatory reporting</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layer</w:t>
            </w:r>
          </w:p>
        </w:tc>
        <w:tc>
          <w:tcPr>
            <w:tcW w:w="81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Adaptors for banks, NPSB, Binimoy, Bangla QR, e-KYC, ekPay/billers, payment gateway, remittance partners, SMS/email/push, USSD/IVR, ERP (daily GL journal file from the General Ledger service), SIEM</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&amp; analytics layer</w:t>
            </w:r>
          </w:p>
        </w:tc>
        <w:tc>
          <w:tcPr>
            <w:tcW w:w="81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Operational data store, reporting data warehouse, archive store, analytics/NLQ engine (R3)</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Platform layer</w:t>
            </w:r>
          </w:p>
        </w:tc>
        <w:tc>
          <w:tcPr>
            <w:tcW w:w="81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Container platform, message broker, cache, RDBMS (HA), object storage, HSM, secrets vault, observability stack, CI/CD</w:t>
            </w:r>
          </w:p>
        </w:tc>
      </w:tr>
    </w:tbl>
    <w:p>
      <w:pPr>
        <w:pStyle w:val="Normal"/>
        <w:spacing w:before="0" w:after="120"/>
        <w:rPr/>
      </w:pPr>
      <w:r>
        <w:rPr/>
      </w:r>
    </w:p>
    <w:p>
      <w:pPr>
        <w:pStyle w:val="Heading2"/>
        <w:rPr/>
      </w:pPr>
      <w:bookmarkStart w:id="25" w:name="__RefHeading___Toc12967_2869911984"/>
      <w:bookmarkEnd w:id="25"/>
      <w:r>
        <w:rPr/>
        <w:t>3.2 Key Design Principles</w:t>
      </w:r>
    </w:p>
    <w:p>
      <w:pPr>
        <w:pStyle w:val="ListParagraph"/>
        <w:numPr>
          <w:ilvl w:val="0"/>
          <w:numId w:val="1"/>
        </w:numPr>
        <w:spacing w:before="0" w:after="60"/>
        <w:rPr/>
      </w:pPr>
      <w:r>
        <w:rPr>
          <w:b/>
          <w:bCs/>
        </w:rPr>
        <w:t>Ledger first:</w:t>
      </w:r>
      <w:r>
        <w:rPr/>
        <w:t xml:space="preserve"> every financial event is recorded as balanced double-entry postings in a single authoritative ledger; balances are derived from postings and never edited directly.</w:t>
      </w:r>
    </w:p>
    <w:p>
      <w:pPr>
        <w:pStyle w:val="ListParagraph"/>
        <w:numPr>
          <w:ilvl w:val="0"/>
          <w:numId w:val="1"/>
        </w:numPr>
        <w:spacing w:before="0" w:after="60"/>
        <w:rPr/>
      </w:pPr>
      <w:r>
        <w:rPr>
          <w:b/>
          <w:bCs/>
        </w:rPr>
        <w:t xml:space="preserve">Books follow the ledger: the official general ledger is derived only from committed ledger postings through versioned posting rules; it never moves money, never edits a posted journal, and every closed day is independently certified by reconciliation.</w:t>
      </w:r>
    </w:p>
    <w:p>
      <w:pPr>
        <w:pStyle w:val="ListParagraph"/>
        <w:numPr>
          <w:ilvl w:val="0"/>
          <w:numId w:val="1"/>
        </w:numPr>
        <w:spacing w:before="0" w:after="60"/>
        <w:rPr/>
      </w:pPr>
      <w:r>
        <w:rPr>
          <w:b/>
          <w:bCs/>
        </w:rPr>
        <w:t>Idempotency and exactly-once financial effect:</w:t>
      </w:r>
      <w:r>
        <w:rPr/>
        <w:t xml:space="preserve"> every financial API accepts a client reference; duplicates never produce a second posting.</w:t>
      </w:r>
    </w:p>
    <w:p>
      <w:pPr>
        <w:pStyle w:val="ListParagraph"/>
        <w:numPr>
          <w:ilvl w:val="0"/>
          <w:numId w:val="1"/>
        </w:numPr>
        <w:spacing w:before="0" w:after="60"/>
        <w:rPr/>
      </w:pPr>
      <w:r>
        <w:rPr>
          <w:b/>
          <w:bCs/>
        </w:rPr>
        <w:t>Configuration over code:</w:t>
      </w:r>
      <w:r>
        <w:rPr/>
        <w:t xml:space="preserve"> limits, fees, commissions, rules, templates, products and workflows are configurable.</w:t>
      </w:r>
    </w:p>
    <w:p>
      <w:pPr>
        <w:pStyle w:val="ListParagraph"/>
        <w:numPr>
          <w:ilvl w:val="0"/>
          <w:numId w:val="1"/>
        </w:numPr>
        <w:spacing w:before="0" w:after="60"/>
        <w:rPr/>
      </w:pPr>
      <w:r>
        <w:rPr>
          <w:b/>
          <w:bCs/>
        </w:rPr>
        <w:t>Store-and-forward for dependencies:</w:t>
      </w:r>
      <w:r>
        <w:rPr/>
        <w:t xml:space="preserve"> where an external system (e.g. a biller, bank or scheme switch) is slow or unavailable, the transaction outcome to the customer is deterministic, funds are held rather than moved, and synchronisation is guaranteed by durable queues, status enquiry and reconciliation.</w:t>
      </w:r>
    </w:p>
    <w:p>
      <w:pPr>
        <w:pStyle w:val="ListParagraph"/>
        <w:numPr>
          <w:ilvl w:val="0"/>
          <w:numId w:val="1"/>
        </w:numPr>
        <w:spacing w:before="0" w:after="60"/>
        <w:rPr/>
      </w:pPr>
      <w:r>
        <w:rPr>
          <w:b/>
          <w:bCs/>
        </w:rPr>
        <w:t>Security and privacy by design:</w:t>
      </w:r>
      <w:r>
        <w:rPr/>
        <w:t xml:space="preserve"> least privilege, encryption everywhere, full audit trail, data minimisation.</w:t>
      </w:r>
    </w:p>
    <w:p>
      <w:pPr>
        <w:pStyle w:val="Normal"/>
        <w:rPr/>
      </w:pPr>
      <w:r>
        <w:rPr/>
      </w:r>
      <w:r>
        <w:br w:type="page"/>
      </w:r>
    </w:p>
    <w:p>
      <w:pPr>
        <w:pStyle w:val="Heading1"/>
        <w:spacing w:before="0" w:after="160"/>
        <w:rPr/>
      </w:pPr>
      <w:bookmarkStart w:id="26" w:name="__RefHeading___Toc12969_2869911984"/>
      <w:bookmarkEnd w:id="26"/>
      <w:r>
        <w:rPr/>
        <w:t>4. Functional Requirements</w:t>
      </w:r>
    </w:p>
    <w:p>
      <w:pPr>
        <w:pStyle w:val="Normal"/>
        <w:spacing w:before="0" w:after="120"/>
        <w:rPr/>
      </w:pPr>
      <w:r>
        <w:rPr/>
        <w:t>Each module below starts with a short description followed by uniquely identified requirements. Business rules (BR) and acceptance notes are included where they clarify the expected behaviour.</w:t>
      </w:r>
    </w:p>
    <w:p>
      <w:pPr>
        <w:pStyle w:val="Heading2"/>
        <w:rPr/>
      </w:pPr>
      <w:bookmarkStart w:id="27" w:name="__RefHeading___Toc12971_2869911984"/>
      <w:bookmarkEnd w:id="27"/>
      <w:r>
        <w:rPr/>
        <w:t>4.1 Customer Onboarding &amp; e-KYC (ONB)</w:t>
      </w:r>
    </w:p>
    <w:p>
      <w:pPr>
        <w:pStyle w:val="Normal"/>
        <w:spacing w:before="0" w:after="120"/>
        <w:rPr/>
      </w:pPr>
      <w:r>
        <w:rPr/>
        <w:t>Digital onboarding of retail customers through NID-based e-KYC, with tiered KYC classification and limits. The journey shall be simple, Bangla-first and suitable for low-literacy users, and fully auditable. Onboarding shall be available as self-onboarding (app) and assisted onboarding at authorised agents or by Operator field sales staff.</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self-onboarding through the customer Android app using mobile number verification by OTP sent to the same SIM/device.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assisted onboarding by authorised agents and Operator field sales staff through the partner app, with the assisting user's identity recorded on the customer record.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capture NID front and back images, extract data by OCR, and allow the user to confirm extracted fields (name in Bangla and English, NID number, date of birth, father/mother/spouse name, address).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verify NID data in real time against the EC NID / approved e-KYC service and record the verification response, reference ID and timestamp.</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capture a live selfie with passive and/or active liveness detection and perform face-match against the EC NID photo; match score and threshold shall be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should support fingerprint biometric verification against EC NID at assisted points where a certified fingerprint device is available (configurable per channel).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perform de-duplication: one wallet per NID per wallet type, one wallet per mobile number; conflicts shall be routed to an exception queue.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screen every applicant against sanctions, PEP, adverse/internal blacklist lists before activation; potential matches shall be held for compliance review.</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capture nominee details (name, relationship, NID/birth registration, share %) as required by the applicable e-KYC guideline.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capture occupation, source of funds, monthly income band and purpose of account for risk grading.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compute a customer risk grade (Low / Medium / High) using a configurable risk-scoring matrix, and apply enhanced due diligence workflow for High risk.</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assign a KYC tier on completion (e.g. Tier 0 – mobile-verified only, Tier 1 – simplified e-KYC, Tier 2 – full e-KYC) with tier definitions configurable (see Appendix 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allow tier upgrade by completing additional verification steps, without creating a new wallet.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require the customer to set a 4–6 digit PIN (length configurable) during onboarding, enforcing weak-PIN rules (e.g. 1111, 1234, date of birth).</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display terms &amp; conditions and privacy notice in Bangla and English, and capture explicit digital consent (including consent for data sharing with named partners where required) with version and timestamp.</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onboarding journey shall be completable in Bangla with icon-led screens, audio/voice prompts for each step, and minimal free-text entry.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save onboarding progress and allow resumption within a configurable period (default 7 days) after interruption.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route applications failing automated checks (low face-match score, OCR mismatch, screening hit, duplicate) to a back-office review queue with maker-checker approval/rejection and reason codes.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notify the applicant by SMS and in-app message of approval, rejection or pending status.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ONB-020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bulk pre-registration of customers supplied by institutional partners (e.g. employer payroll lists for salary disbursement), creating dormant pre-registered profiles that the customer activates by OTP and PIN set, subject to e-KYC completion.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ONB-021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KYC expiry and periodic review: flag profiles for re-KYC based on configurable rules (risk grade, document expiry, regulatory period) and restrict services per policy on expiry.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ONB-022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store all KYC artefacts (images, verification responses, consent) encrypted, linked to the customer record, and retrievable for audit.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ONB-023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allow authorised users to update customer profile fields with maker-checker; NID-derived fields shall be locked except via re-verification.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ONB-024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onboarding of minors only if and as permitted by licence, linked to a guardian wallet (disabled by default).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ONB-025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record a complete onboarding audit trail: every step, device ID, geo-location (with consent), channel, assisting user and decision.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Normal"/>
        <w:spacing w:before="0" w:after="120"/>
        <w:rPr/>
      </w:pPr>
      <w:r>
        <w:rPr>
          <w:b/>
          <w:bCs/>
        </w:rPr>
        <w:t>Business rules</w:t>
      </w:r>
    </w:p>
    <w:p>
      <w:pPr>
        <w:pStyle w:val="ListParagraph"/>
        <w:numPr>
          <w:ilvl w:val="0"/>
          <w:numId w:val="1"/>
        </w:numPr>
        <w:spacing w:before="0" w:after="60"/>
        <w:rPr/>
      </w:pPr>
      <w:r>
        <w:rPr/>
        <w:t>BR-ONB-01: A wallet shall not transact (other than receiving inbound credits where policy permits) until e-KYC verification and screening have passed.</w:t>
      </w:r>
    </w:p>
    <w:p>
      <w:pPr>
        <w:pStyle w:val="ListParagraph"/>
        <w:numPr>
          <w:ilvl w:val="0"/>
          <w:numId w:val="1"/>
        </w:numPr>
        <w:spacing w:before="0" w:after="60"/>
        <w:rPr/>
      </w:pPr>
      <w:r>
        <w:rPr/>
        <w:t>BR-ONB-02: The mobile number used for the wallet must be registered to the same NID holder where MNO verification is available; otherwise a declaration is captured.</w:t>
      </w:r>
    </w:p>
    <w:p>
      <w:pPr>
        <w:pStyle w:val="ListParagraph"/>
        <w:numPr>
          <w:ilvl w:val="0"/>
          <w:numId w:val="1"/>
        </w:numPr>
        <w:spacing w:before="0" w:after="60"/>
        <w:rPr/>
      </w:pPr>
      <w:r>
        <w:rPr/>
        <w:t>BR-ONB-03: Face-match below the auto-approve threshold but above the reject threshold goes to manual review; below the reject threshold is rejected with option to retry up to N times (configurable).</w:t>
      </w:r>
    </w:p>
    <w:p>
      <w:pPr>
        <w:pStyle w:val="Heading2"/>
        <w:rPr/>
      </w:pPr>
      <w:bookmarkStart w:id="28" w:name="__RefHeading___Toc12973_2869911984"/>
      <w:bookmarkEnd w:id="28"/>
      <w:r>
        <w:rPr/>
        <w:t>4.2 Wallet &amp; Ledger Management (LED)</w:t>
      </w:r>
    </w:p>
    <w:p>
      <w:pPr>
        <w:pStyle w:val="Normal"/>
        <w:spacing w:before="0" w:after="120"/>
        <w:rPr/>
      </w:pPr>
      <w:r>
        <w:rPr/>
        <w:t xml:space="preserve">A real-time, double-entry, multi-ledger system with separate ledgers for customers, agents, merchants, distributors and system accounts, configurable fees, complete audit trail and reconciliation readiness. The Operator's official books (chart of accounts, journals, period close, financial statements and ERP export) are kept by the General Ledger service, specified in 4.34.</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ledger shall record every financial event as balanced double-entry postings (sum of debits = sum of credits) within a single atomic database transaction.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maintain separate ledger/account types for customers, agents, merchants, distributors, institutional partners, billers and internal/system accounts (fee income, commission payable, suspense, trust mirror, settlement, campaign, VAT payable, etc.).</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multiple wallets/sub-accounts per customer (e.g. personal wallet and business/merchant wallet) where configured.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Balances shall be updated in real time and shall be consistent across all channels immediately after a transaction commits.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maintain available balance, ledger balance and blocked/held amounts (lien) separately, and support placing and releasing holds.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prevent negative balances on customer wallets; overdraft shall be impossible unless an explicitly configured system account allows it.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Every transaction shall carry a unique, human-readable transaction ID, the originator's client reference, timestamps (initiated, committed), channel, status, and links to related transactions (reversal, refund, fee, commission).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financial APIs shall be idempotent on the client reference; a repeated request shall return the original result without a new posting.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transaction states: Initiated, Pending (awaiting external confirmation), Successful, Failed, Reversed, Refunded, Disputed; state transitions shall be audited.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Pending external transactions shall be resolved automatically by status enquiry and time-out rules; unresolved items shall go to a suspense/exception queue.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Reversals shall be executed as new compensating postings, never by deleting or altering original postings.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provide a full transaction history per wallet with filters (date, type, amount, counterparty, status) and downloadable statements (PDF/CSV).</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system shall support end-of-day (EOD) processing: balance snapshot and EOD reports, without stopping online transaction processing. The GL trial balance and GL summary are produced by the General Ledger day close (GLD-014, GLD-015, GLD-028).</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Ledger accounts shall be mapped to the Operator's chart of accounts, and GL journal entries generated for ERP integration, by the General Ledger service as specified in 4.34 (GLD-006, GLD-013, GLD-031); the real-time view is the GL open-day overlay (GLD-030).</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ledger shall support BDT as the base currency with two-decimal precision and banker's-safe rounding rules defined for fees and commissions.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dormancy rules: mark wallets dormant after a configurable inactivity period, restrict debit transactions, and support reactivation per policy.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unclaimed balance handling per regulatory requirement (report and transfer to designated account when mandated).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Ledger data shall be protected against direct modification; database-level changes outside the application shall be detectable (hash chain or equivalent integrity control).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system shall provide a real-time "system balance sheet" view: total customer e-money, agent/merchant/distributor e-money, and total trust account balance (complemented by the accounting balance sheet of the General Ledger, GLD-029).</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Normal"/>
        <w:spacing w:before="0" w:after="120"/>
        <w:rPr/>
      </w:pPr>
      <w:r>
        <w:rPr/>
      </w:r>
    </w:p>
    <w:p>
      <w:pPr>
        <w:pStyle w:val="Heading2"/>
        <w:rPr/>
      </w:pPr>
      <w:bookmarkStart w:id="30" w:name="__RefHeading___Toc12977_2869911984"/>
      <w:bookmarkEnd w:id="30"/>
      <w:r>
        <w:rPr/>
        <w:t>4.3 Payments &amp; Transfers (PAY)</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Wallet-to-wallet (P2P) transfer to another Bits Pay wallet by mobile number, contact list or QR, with recipient name confirmation before PIN entry.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Wallet-to-bank transfer to any bank account via NPSB (and BEFTN/RTGS through the sponsor bank where approved), with beneficiary name enquiry where supported.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Wallet-to-MFS transfer via NPSB and Binimoy interoperable rails to MFS wallets (bKash, Nagad, Rocket and others participating).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Inbound transfers from banks, MFS and PSPs into Bits Pay wallets via NPSB/Binimoy, credited in real time.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P2B payments to registered merchants by Bangla QR, merchant number, or payment link, with merchant name confirmation.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P2G payments for government fees and services through ekPay, A-Challan or other approved government channels (biller list configurable).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B2C / G2P / institutional bulk disbursement (e.g. salary, allowances, stipends) into wallets via portal file upload or API, with maker-checker approval, row-level validation, idempotent re-run (no double payment), progress tracking and a per-record status report.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Request money: a user can send a payment request to another wallet, which the payer can accept (with PIN) or decline.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Saved beneficiaries/favourites with nickname, and recent transactions for quick repeat.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Scheduled and recurring transfers (daily, weekly, monthly) with notification before execution and on success/failure.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Every transaction shall present a confirmation screen showing amount, fee, total debit, recipient, and post-transaction a digital receipt (shareable image/PDF) with transaction ID.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Real-time transaction confirmation by in-app notification and SMS to both payer and payee.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payments shall be validated against limits &amp; tiers, fees, fraud rules and AML rules before commit.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For outbound interoperable transfers, the system shall handle pending/unknown responses through status enquiry and automatic reversal on confirmed failure.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user shall be able to add a reference/purpose note to transfers (purpose codes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31" w:name="__RefHeading___Toc12979_2869911984"/>
      <w:bookmarkEnd w:id="31"/>
      <w:r>
        <w:rPr/>
        <w:t>4.4 Merchant Services &amp; Bangla QR (MER)</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generate Bangla QR-compliant static merchant QR codes (printable) and dynamic QR codes with amount and reference.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customer app shall scan and pay any Bangla QR (on-us Bits Pay merchants and, through the scheme, off-us merchants) subject to scheme connectivity (issuer role).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 merchants shall accept Bangla QR payments from other scheme participants' apps (acquirer role), subject to licence and scheme certification.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shall receive instant payment notification (app push, sound alert/"voice receipt" in Bangla, SMS) for every payment received.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merchant categories (MCC), merchant types (micro, small, enterprise, online) and category-specific fees, limits and settlement cycles.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merchant settlement to wallet (instant) or to linked bank account (T+0/T+1 configurable), net of MDR/fees, with settlement reports.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Merchants with multiple outlets and cashiers shall be supported (parent merchant – store – cashier hierarchy) with role-limited cashier access.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refund: full or partial refund of a received payment to the payer's wallet within a configurable period, with maker-checker for enterprise merchants.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API / payment link for online merchants (checkout, callback, status enquiry) through the API gateway.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dashboard (app and portal) showing daily sales, transaction list, settlements, fees and QR management.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32" w:name="__RefHeading___Toc12981_2869911984"/>
      <w:bookmarkEnd w:id="32"/>
      <w:r>
        <w:rPr/>
        <w:t>4.5 Agent Services (AGT)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agent types (retail agent, super-agent, merchant-agent, bank agent) with type-specific permissions, limits and commissions.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Agents shall perform cash-in, cash-out, assisted bill payment, assisted mobile recharge and assisted onboarding as permitted by their type.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authentication shall use partner app login with PIN plus device binding; high-risk operations shall require step-up (biometric/OTP).</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agent app shall show real-time e-money float balance, cash-in-hand indicator (agent-declared), daily transaction summary and commissions earned.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Agents shall be able to request float top-up / rebalance from their distributor or the Operator, and transfer excess e-money to distributor/bank (see LIQ).</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enforce agent geo-fencing (optional, configurable) — transactions outside the registered area are flagged or blocked.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end-of-day summary and statement shall be available, with downloadable reports.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Agents shall be subject to performance and risk monitoring (volume, unusual patterns, complaints) with ability to suspend.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33" w:name="__RefHeading___Toc12983_2869911984"/>
      <w:bookmarkEnd w:id="33"/>
      <w:r>
        <w:rPr/>
        <w:t>4.6 Bill Payment &amp; Value-Added Services (BIL)</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Integration with ekPay (national aggregator) for utility bills (electricity – prepaid and postpaid, gas, water), education fees and government fees.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for direct biller API integrations through a configurable biller adapter framework (new billers onboarded by configuration plus adapter, without core change).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Bill enquiry (fetch due amount by account/customer number) before payment, where the biller supports it; otherwise amount entry with validation.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recharge (prepaid top-up and postpaid bill) for all Bangladeshi MNOs, including data/talk-time packs where available via aggregator.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Prepaid electricity token delivery in app, SMS and receipt.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Saved billers and bill reminders based on due dates (from biller or user-set).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Automatic handling of biller time-outs: status enquiry, refund on failure, and biller reconciliation.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biller list, categories, logos, fees (customer-borne or biller-borne) and limits.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Digital donations to Operator-approved recipients (registered charities, relief funds) with receipt; recipients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Community-based payments (collection pools, event contributions) with designated collector, contributor list and payout with maker-checker.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R3</w:t>
            </w:r>
          </w:p>
        </w:tc>
      </w:tr>
    </w:tbl>
    <w:p>
      <w:pPr>
        <w:pStyle w:val="Normal"/>
        <w:spacing w:before="0" w:after="120"/>
        <w:rPr/>
      </w:pPr>
      <w:r>
        <w:rPr/>
      </w:r>
    </w:p>
    <w:p>
      <w:pPr>
        <w:pStyle w:val="Heading2"/>
        <w:rPr/>
      </w:pPr>
      <w:bookmarkStart w:id="34" w:name="__RefHeading___Toc12985_2869911984"/>
      <w:bookmarkEnd w:id="34"/>
      <w:r>
        <w:rPr/>
        <w:t>4.7 Remittance (REM)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Domestic remittance: wallet-to-wallet and wallet-to-bank/MFS transfers as per PAY module, with remittance purpose codes where required.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Inbound international remittance credit to wallet through authorised partner bank(s)/remittance service providers via API, with the wallet acting as beneficiary account.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Beneficiary validation API for partners (wallet number, name match, KYC status, limit headroom) before remittance is accepted.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Government remittance incentive (cash incentive) credit, as calculated and funded by the partner bank, shown separately on the receipt; Bits Pay shall support crediting the incentive as a separate linked transaction.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Remittance transactions shall be screened (sanctions on sender and beneficiary) and monitored under AML rules; sender details shall be stored.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Remittance partner settlement and reconciliation (daily) with exception handling.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Beneficiary notification by SMS and app on remittance receipt.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35" w:name="__RefHeading___Toc12987_2869911984"/>
      <w:bookmarkEnd w:id="35"/>
      <w:r>
        <w:rPr/>
        <w:t>4.8 Customer Channels &amp; Experience (CX)</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Native Android customer app supporting Android 8.0 (API 26) and above, published on Google Play, with app size optimised for low-end devices (target install size ≤ 30 MB).</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iOS customer app (iOS 15+) with feature parity to Android for customer journeys.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Bangla-first UI with English option; all screens, messages, receipts and errors available in both languages; language switch at any 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Low-literacy design: large icons, pictograms, colour cues, audio guidance (Bangla voice-over) on key screens, number pad entry, minimal text input.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Home screen showing balance (hidden by default, tap-to-reveal), key actions (Send Money, Cash Out, Pay, Add Money, Recharge, Pay Bill, Transfer to Bank), notifications and offers.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Accessibility: support for Android TalkBack, font scaling, sufficient contrast (WCAG 2.1 AA where applicable).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Performance on low-bandwidth networks: graceful handling of time-outs, retry without duplicate transactions, compressed payloads.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USSD channel providing: balance enquiry, send money, cash-out initiation, merchant payment, mobile recharge, bill payment, mini statement, PIN change; menu in Bangla/English as operator supports.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IVR channel providing: balance enquiry, last transactions, PIN reset initiation, complaint registration, outbound voice reminders (bill due, security alerts), in Bangla.</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 chatbot (in-app and web) handling FAQs, transaction status enquiry, balance enquiry (authenticated), complaint registration and hand-off to human agent.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Voice assistance: Bangla voice-guided navigation and voice-based queries for key journeys.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In-app help center with Bangla tutorials (video/animation), FAQs and support contact.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In-app profile management: view KYC status and tier, limits used/remaining, linked accounts, devices, language, notification preferences.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Forced and optional app update mechanism controlled from back office (minimum supported version).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App shall support deep links for campaigns, payment requests and notifications.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36" w:name="__RefHeading___Toc12989_2869911984"/>
      <w:bookmarkEnd w:id="36"/>
      <w:r>
        <w:rPr/>
        <w:t>4.9 Customer Support, Disputes &amp; Reversal (SUP)</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console for customer service agents: 360° customer view (profile, KYC, wallets, balances, transactions, devices, complaints, notifications) with sensitive data masked per role.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Complaint registration through app, USSD/IVR, chatbot, call centre and agent; each complaint gets a ticket number communicated to the customer.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Complaint categorisation, priority, SLA timers, assignment, escalation matrix and status tracking visible to the customer.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Dispute management for transactions: dispute initiation, evidence capture, investigation workflow, provisional hold/credit (configurable), resolution and customer notification.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Wrong-transfer (mistaken P2P) handling: hold on recipient funds (where policy permits) and reversal with recipient consent or as per regulatory instruction, with maker-checker.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Transaction reversal by back office with maker-checker, reason code and automatic notification to affected parties; reversal of fees and commissions per rule.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Transaction enquiry: lookup by transaction ID, mobile number, date range, amount, partner.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service actions with audit: block/unblock wallet, reset PIN (after verification), unbind device, resend receipt, update contact details (maker-checker).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reporting dashboards: open/closed tickets, ageing, SLA breaches, complaint categories, first-contact resolution.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with the Operator's contact-centre/CRM/ticketing platform (if any) via API; otherwise the built-in ticketing is the system of record.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Complaint data shall support Bangladesh Bank customer complaint reporting requirements.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37" w:name="__RefHeading___Toc12991_2869911984"/>
      <w:bookmarkEnd w:id="37"/>
      <w:r>
        <w:rPr/>
        <w:t>4.10 Cash-In / Cash-Out (CICO)</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Cash-in at agent/merchant-agent: the agent enters the customer wallet number and amount, confirms the customer name, authorises with PIN; the customer's wallet is credited and the agent's e-money float debited in real 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Cash-out initiated by the customer (app/USSD) to an agent number/QR with customer PIN; agent receives notification and pays cash.</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Cash-out with agent-initiated request and customer approval (customer PIN/OTP on own device) as an alternative flow.</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Cash-out by token/voucher code (for disbursements to recipients without a wallet or smartphone): one-time code with expiry, redeemable at authorised agents with ID check.</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CICO through super-agents and Operator customer service points using a counter role, with outlet cash ledger and outlet-level EOD.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CICO through partner bank channels (bank branch/agent banking) via integration, where agreed with the bank.</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Limits enforced by customer KYC tier, agent category and regulatory caps; fees and commissions applied per configuration.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Digital receipts for both parties with transaction reference; SMS receipt to customer.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and outlet end-of-day reconciliation: e-money float movement, cash-in vs cash-out totals, commissions, exceptions.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Anti-fraud controls on CICO: velocity, split-transaction detection (structuring), agent self-dealing detection, unusual agent-customer pairs.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38" w:name="__RefHeading___Toc12993_2869911984"/>
      <w:bookmarkEnd w:id="38"/>
      <w:r>
        <w:rPr/>
        <w:t>4.11 Distributor Module (DST)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hierarchy of up to five levels (e.g. Operator → Master Distributor → Distributor → Sub-distributor → Agent/Merchant), with each level's role definition.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DST-002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Distributor onboarding, KYB, contract details, territory assignment (division/district/upazila/union) and linked bank accounts.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Assignment and re-assignment of agents/merchants to distributors with maker-checker and effective dating (history preserved for commission calculation).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DST-004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Distributor-level transaction limits, float limits and liquidity allocation to downstream agents (e-money transfer distributor → agent and reverse).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Monitoring of downstream activity: agent list, status, float levels, transaction volumes, low-float alerts, inactive agents, complaints.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DST-006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Distributor commission structures and hierarchical commission sharing (see COM).</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Distributor dashboards and reports in app and web portal.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DST-008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Ability for a distributor to suspend a downstream agent temporarily (with reason) subject to Operator override.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39" w:name="__RefHeading___Toc12995_2869911984"/>
      <w:bookmarkEnd w:id="39"/>
      <w:r>
        <w:rPr/>
        <w:t>4.12 Merchant, Agent &amp; Partner Onboarding (PON)</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Digital onboarding workflow for agents, merchants (micro, small, enterprise), merchant-agents, distributors and institutional partners, each with its own configurable form, document checklist and approval chain.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Identity verification of proprietors/directors through e-KYC (NID) and business verification (trade licence, TIN/BIN, bank account proof) with document upload.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Self-registration (where permitted) for micro-merchants through the app, and assisted onboarding by Operator sales staff or distributors.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PEP screening, sanctions screening and internal blacklist check on the entity and its key persons at onboarding and periodically (re-screening when lists update).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Risk-based due diligence: risk grade per partner; enhanced due diligence for high-risk categories; site-visit capture (photos, GPS, checklist) through the partner app in field sales mode.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Multi-level approval workflow (e.g. sales → compliance → operations) with SLA tracking, rejection reasons and resubmission.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Role-based activation: upon approval, the system creates wallet(s), assigns role, limits, fee/commission plans, QR codes and portal credentials, and notifies the partner.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Blacklist management: add/remove entities, persons, NIDs, mobile numbers, devices and bank accounts with maker-checker and reason; blacklisted entities blocked from onboarding and transacting.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lifecycle: suspend, reactivate, change category, change hierarchy, terminate (with float settlement) — all maker-checker and audited.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Agreement management: store signed agreement, version, validity; alerts before expiry of agreement and trade licence.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40" w:name="__RefHeading___Toc12997_2869911984"/>
      <w:bookmarkEnd w:id="40"/>
      <w:r>
        <w:rPr/>
        <w:t>4.13 Merchant &amp; Agent Web Portal (PRT)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Responsive web portal for agents, merchants, distributors and institutional partners with secure login (user ID + password + OTP/MFA).</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View transaction history with search/filter and export (CSV, XLSX, PDF).</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View balances, settlement status (pending, completed, failed), settlement reports.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View commissions earned (by period, transaction type), commission statements and tax deductions.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Performance reports and dashboards (volume, value, unique customers, trends).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QR code management: view, download, request reprint, generate dynamic QR.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Float requests (top-up/withdrawal) with status tracking.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Dispute initiation and tracking for transactions.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Profile updates (contact, bank account, outlet info) routed for approval where required.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Partner-side user management: an enterprise merchant/distributor admin can create sub-users (cashier, accountant, viewer) with role-limited access.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Role-based access control ensuring users only see data and functions relevant to their role and hierarchy scope.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Bulk operations for institutional partners: bulk disbursement upload, bulk payment, with validation and approval.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Portal available in Bangla and English.</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1" w:name="__RefHeading___Toc12999_2869911984"/>
      <w:bookmarkEnd w:id="41"/>
      <w:r>
        <w:rPr/>
        <w:t>4.14 Reporting, MIS &amp; Analytics (RPT)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reporting module with a catalogue of standard reports covering transaction volumes and values, user growth, agent/merchant performance, liquidity positions, suspicious transaction indicators and service uptime.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 and BFIU regulatory reports in prescribed formats (see Section 6.5 Regulatory Reporting catalogue), generated automatically on schedule with maker-checker review before submission.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Internal management dashboards with drill-down by geography (division → district → upazila → union), channel, product, partner and 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Audit reports: user activity, configuration changes, maker-checker actions, privileged access, data exports.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Operational reports: failed transactions, pending/suspense, reversals, disputes, settlement, reconciliation exceptions, notification delivery.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Scheduled report generation and distribution (email/secure folder/portal) with configurable frequency.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Export in standard formats: CSV, XLSX, PDF; and XML/other formats where required by the regulator.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Role-based access to reports; masking of sensitive fields (NID, full mobile number, account numbers) by role; all report views and exports logged.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Ad-hoc report builder for authorised users (select dimensions, measures, filters) without SQL.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Reporting shall run on a reporting replica/data warehouse so that reporting load does not affect transaction processing.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Natural Language Query (NLQ): authorised users can ask questions in English (and Bangla where feasible), e.g. "show total cash-out by district last month", and receive tables, charts or summaries; NLQ shall respect RBAC and data masking, and run in-country.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Predictive analytics: trend forecasting (volume, float demand), early-warning indicators for agent liquidity shortfall, usage/churn pattern detection, presented as dashboards and alerts.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export APIs/feeds for the Operator's enterprise data warehouse and future AI/ML platforms, documented and access-controlled.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Service uptime and SLA reports (availability per channel/service, incident counts, MTTR).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2" w:name="__RefHeading___Toc13001_2869911984"/>
      <w:bookmarkEnd w:id="42"/>
      <w:r>
        <w:rPr/>
        <w:t>4.15 Reconciliation &amp; Settlement (REC)</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Automated reconciliation between wallet ledger and: partner/trust bank account statements, NPSB and Binimoy settlement reports, Bangla QR scheme reports, billers/ekPay, payment gateway, remittance partners, bulk disbursers and merchants.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Ingestion of counterpart data via API, SFTP file (CSV, XLS, MT940/camt.053, scheme formats) with configurable file parsers and scheduled jobs.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matching rules (one-to-one, one-to-many, many-to-one; exact and tolerance-based on amount/date/reference).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Exception identification and categorisation (missing in ledger, missing at counterparty, amount mismatch, status mismatch, duplicate), with exception reports.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Investigation and resolution workflow for exceptions: assign, comment, attach evidence, propose adjustment, approve (maker-checker), post adjustment, close.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settlement cycles per counterparty and partner (T+0, T+1, intraday, as per scheme rules), with net/gross settlement options.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Settlement dashboard showing pending, completed and failed settlements, with ageing.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Generation of settlement instruction files / API calls to banks for merchant, biller and partner payouts, with maker-checker approval.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Daily e-money reconciliation: total e-money liability in ledger vs. total balance in trust/settlement accounts, with variance alert to Finance and Compliance.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Reconciliation status reports and audit trail retained per retention policy.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Auto-resolution of known exception types (e.g. late-arriving confirmation) by rule, with audit.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REC-012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Daily GL tie-out: for every closed General Ledger business day and revision, reconciliation shall independently compare the GL control totals per ledger bucket with its own ledger projection and certify or fail the day; a failed tie-out raises a critical exception to Finance (GLD-016).</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 xml:space="preserve">R1</w:t>
            </w:r>
          </w:p>
        </w:tc>
      </w:tr>
    </w:tbl>
    <w:p>
      <w:pPr>
        <w:pStyle w:val="Normal"/>
        <w:spacing w:before="0" w:after="120"/>
        <w:rPr/>
      </w:pPr>
      <w:r>
        <w:rPr/>
      </w:r>
    </w:p>
    <w:p>
      <w:pPr>
        <w:pStyle w:val="Heading2"/>
        <w:rPr/>
      </w:pPr>
      <w:bookmarkStart w:id="43" w:name="__RefHeading___Toc13003_2869911984"/>
      <w:bookmarkEnd w:id="43"/>
      <w:r>
        <w:rPr/>
        <w:t>4.16 User Authentication (AUT)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PIN-based authentication for app login and transaction confirmation for customers and partners.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PINs shall never be stored or logged in clear text; PIN verification shall use HSM-based PIN blocks or salted adaptive hashing (Argon2id/bcrypt/PBKDF2 with appropriate work factor) with keys protected in an HSM.</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retry limit (default 3) after which the account is temporarily locked (configurable duration) and then permanently locked after a further configurable threshold.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Secure self-service PIN reset: identity re-verification via NID details + OTP + selfie face-match (or assisted at an authorised agent / customer service point), with cooling period on high-value transactions after reset (configurable).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PIN change from app/USSD with old PIN verification.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Biometric authentication (fingerprint/face) using device-native biometrics (Android BiometricPrompt, iOS LocalAuthentication) bound to a device key in secure hardware (Keystore/Secure Enclave), as optional alternative to PIN for login and configurable transaction types.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Step-up authentication rules configurable by transaction type, amount, risk score, new device, new beneficiary (e.g. PIN + biometric, PIN + OTP).</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OTP generation with configurable length, validity (default 3 minutes), resend limits and binding to the transaction context; OTP delivered by SMS (and app push where suitable).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and portal users: username + strong password + MFA (TOTP or OTP); password policy configurable (length, complexity, history, expiry); integration with the Operator's AD/LDAP/SSO where available.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authentication events (success, failure, lockout, reset, biometric enable/disable) logged with device, IP, channel and timestamp, and forwarded to SIEM.</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USSD PIN entry shall be protected (masked where supported, session-bound, not echoed in operator logs where avoidable) and subject to the same retry/lockout rules.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4" w:name="__RefHeading___Toc13005_2869911984"/>
      <w:bookmarkEnd w:id="44"/>
      <w:r>
        <w:rPr/>
        <w:t>4.17 Account Closure, Deactivation &amp; Reactivation (ACL)</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Account statuses: Active, Inactive/Dormant, Debit-blocked, Credit-blocked, Fully blocked (temporary deactivation), Pending closure, Closed.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Deactivation triggers: suspected fraud, regulatory/court instruction, customer request, KYC expiry, AML case, internal policy; each with reason code.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Automatic deactivation by rule (e.g. KYC expiry, dormancy) and manual deactivation by authorised users with maker-checker.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Customer-initiated closure request via app, call centre or customer service point, with identity verification.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Closure pre-checks: no pending transactions, no open disputes, no holds or liens, and no outstanding regulatory freeze.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Remaining balance settlement on closure by transfer to own bank/MFS account, cash-out at agent, or transfer to another wallet of the same person, before final closure.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Maker-checker approval workflow for closure, with automated customer notifications at request, approval and completion.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Reactivation under defined conditions subject to compliance checks (re-KYC, screening) and approval.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Closed accounts' data retained per retention policy; mobile number released for reuse only after a configurable cooling period and with new-identity checks.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Complete audit log of all status changes with actor, reason, approver and timestamps.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5" w:name="__RefHeading___Toc13007_2869911984"/>
      <w:bookmarkEnd w:id="45"/>
      <w:r>
        <w:rPr/>
        <w:t>4.18 Add Money (ADD)</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 money from linked bank account via NPSB (pull) with customer authorisation through bank-side authentication as per scheme rules.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 money from any bank account/app via NPSB push to the wallet number.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 money from MFS wallets via NPSB/interoperable rails.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 money by debit/credit card (Visa, Mastercard, Amex, UnionPay as supported by gateway) through a PCI-DSS-certified payment gateway hosted page/SDK with 3-D Secure; Bits Pay shall store only tokens/masked PAN.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Bank account linking with ownership verification (name match / penny-drop or bank-side consent) where supported.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Real-time balance update and clear status notification (success, pending, failed) with automatic refund/reversal handling for failed-after-debit cases.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limits, fees and authentication rules per add-money channel and KYC tier.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Each successful add-money shall create e-money only upon confirmed receipt of funds in the settlement account (or confirmed scheme guarantee), per EMY rules.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6" w:name="__RefHeading___Toc13009_2869911984"/>
      <w:bookmarkEnd w:id="46"/>
      <w:r>
        <w:rPr/>
        <w:t>4.19 Notifications &amp; Reminders (NOT)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Multi-channel notification service: SMS, in-app inbox, push (FCM/APNs), email (where applicable), IVR/voice outbound, and chatbot.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Event-triggered notifications for: successful/failed transactions, login from new device, failed login attempts, PIN change/reset, bill payment receipts, bulk disbursement credits, payment requests, limit changes, account status changes, security alerts, KYC expiry.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Template management in Bangla and English with variables, versioning, maker-checker approval, and per-channel formatting (SMS length/Unicode).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Role-based notification controls: which roles can create/approve templates and campaigns, and which notifications are mandatory (security, transactional) vs optional (marketing, opt-out allowed).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reminder engine for bill due dates, scheduled transactions, payment requests, account/service expiry (e.g. KYC): advance reminders (e.g. D-3, D-1), due-date and overdue reminders; configurable by customer type, product, transaction type and business rules.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Channel fallback and priority rules (e.g. push first, SMS if not delivered within N minutes, IVR for overdue).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Delivery status tracking (sent, delivered, failed) where the channel provider supports DLR; failure reporting and retry.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Notification logs retained for audit and dispute resolution; viewable in support console.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Quiet hours and frequency capping for non-critical notifications.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SMS sender ID/masking and provider routing configurable; support for multiple SMS providers with failover.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7" w:name="__RefHeading___Toc13011_2869911984"/>
      <w:bookmarkEnd w:id="47"/>
      <w:r>
        <w:rPr/>
        <w:t>4.20 Campaign Management (CMP)</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Campaign creation with name, objective, period, target segment, channel, reward type, budget and approval (maker-checker).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Reward types: cashback (fixed/percentage with cap), fee waiver/discount, bonus, referral reward (referrer and referee), lucky draw entries, points (if enabled).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Segmentation by attributes (gender, age band, geography, KYC tier, product usage, merchant category, activity level) and uploaded lists.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Rule-based triggers: first transaction, transaction count/volume thresholds, specific transaction types (e.g. QR payment, bill payment), time windows, merchant/category.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Budget caps per campaign, per user, per day; automatic stop when budget exhausted; real-time budget utilisation.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Automated reward distribution from a campaign funding ledger with full accounting.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Educational/awareness campaigns (financial literacy messages) via notification channels without monetary reward.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Campaign analytics: participants, rewards paid, incremental transactions, cost per acquisition, ROI.</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Abuse prevention: one reward per NID/device, fraud checks on campaign-qualifying transactions, clawback of fraudulent rewards.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48" w:name="__RefHeading___Toc13013_2869911984"/>
      <w:bookmarkEnd w:id="48"/>
      <w:r>
        <w:rPr/>
        <w:t>4.21 Agent &amp; Distributor Commission Management (COM)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commission plans by transaction type, amount slab, volume tier, location, agent category and time period (fixed, percentage, slab, with min/max).</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Hierarchical commission sharing among distributor, sub-distributor and agent (percent split of total commission), effective-dated.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Automated commission calculation in real time (accrual) per transaction, with commission ledger entries.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Scheduled commission settlement (daily, weekly, monthly) to the partner's wallet and/or bank account (configurable per partner).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Tax (AIT) and VAT deduction at source on commission per configured rates, with deduction certificates/statements.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Commission adjustments, clawbacks (e.g. on reversed transactions), and dispute handling with maker-checker.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Commission dashboards and statements for the Operator and partners.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Incentive/target-based bonus commissions (e.g. onboarding targets, monthly volume targets).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Commission simulation: preview impact of a new commission plan on historical transactions before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bl>
    <w:p>
      <w:pPr>
        <w:pStyle w:val="Normal"/>
        <w:spacing w:before="0" w:after="120"/>
        <w:rPr/>
      </w:pPr>
      <w:r>
        <w:rPr/>
      </w:r>
    </w:p>
    <w:p>
      <w:pPr>
        <w:pStyle w:val="Normal"/>
        <w:spacing w:before="0" w:after="120"/>
        <w:rPr/>
      </w:pPr>
      <w:r>
        <w:rPr/>
      </w:r>
    </w:p>
    <w:p>
      <w:pPr>
        <w:pStyle w:val="Heading2"/>
        <w:rPr/>
      </w:pPr>
      <w:bookmarkStart w:id="50" w:name="__RefHeading___Toc13017_2869911984"/>
      <w:bookmarkEnd w:id="50"/>
      <w:r>
        <w:rPr/>
        <w:t>4.22 E-Money Issuance &amp; Redemption (EMY)</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E-money creation (issuance) shall occur only upon confirmed receipt of equivalent funds into a designated trust/settlement account (e.g. bank-confirmed deposit, NPSB credit, distributor/agent fund deposit verified by Finance).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E-money destruction (redemption) shall occur upon withdrawal to bank, transfer out via NPSB/MFS, settlement to merchants'/billers' bank accounts, or closure payout.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Issuance against agent/distributor fund deposits shall require a maker-checker workflow with bank evidence (deposit slip/statement reference), or automatic issuance on bank API confirmation.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maintain strict 1:1 backing: total outstanding e-money (all wallets + e-money system accounts) must equal trust/settlement account balances, reconciled at least daily and on demand (see REC-009).</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for multiple trust/settlement banks and accounts, with e-money attribution per bank account (sub-ledger mirror of each trust account).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Inter-bank trust fund rebalancing records (movement between trust accounts) without changing total e-money.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Every issuance and destruction event fully auditable: initiator, approver, evidence, bank reference, amounts, timestamps.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Regulatory e-money reports (daily/monthly outstanding, issuance, redemption, trust balance, interest on trust account if applicable) as required by BB.</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Hard control: the system shall prevent e-money issuance that would cause e-money liability to exceed the latest confirmed trust balance (configurable tolerance = 0 by default).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Normal"/>
        <w:spacing w:before="0" w:after="120"/>
        <w:rPr/>
      </w:pPr>
      <w:r>
        <w:rPr/>
      </w:r>
    </w:p>
    <w:p>
      <w:pPr>
        <w:pStyle w:val="Heading2"/>
        <w:rPr/>
      </w:pPr>
      <w:bookmarkStart w:id="52" w:name="__RefHeading___Toc13021_2869911984"/>
      <w:bookmarkEnd w:id="52"/>
      <w:r>
        <w:rPr/>
        <w:t>4.23 Back-Office Management (BOM)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Web-based back office with role-based menus for operations, support, finance, compliance, risk, administration and audit.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Real-time transaction monitoring console with filters, auto-refresh, drill-down to transaction detail and postings.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Limit management (see LIM), fee configuration (see FEE), reversal processing (see SUP), partner operations oversight (see PON/DST).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Maker-checker on all sensitive activities including: limit changes, fee/commission changes, account deactivation/closure, commission adjustments, fund transfers/adjustments, e-money issuance, reversals, role/permission changes, template changes, campaign approval, blacklist changes.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Maker and checker shall never be the same user; configurable multi-level approval by amount threshold; pending queue with ageing and expiry.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Manual adjustment between system accounts in the ledger (with e-money effect) with mandatory reason, evidence attachment and dual approval; accounting-only journals without e-money effect are entered in the General Ledger (GLD-019).</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Accounting exports and GL integration through the General Ledger service (GLD-031, LED-014); reconciliation reports.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Activity monitoring of back-office users: sessions, actions, data views and exports, with alerts on unusual activity (e.g. bulk export, off-hours).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Bulk operations with validation and approval: bulk wallet status changes, bulk notifications, bulk disbursement, bulk limit assignment.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System parameter management (business calendar, holidays, cut-off times, EOD schedule, product parameters) with maker-checker.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access restricted to the Operator network / VPN and approved IP ranges, with MFA.</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53" w:name="__RefHeading___Toc13023_2869911984"/>
      <w:bookmarkEnd w:id="53"/>
      <w:r>
        <w:rPr/>
        <w:t>4.24 Fraud Management Engine (FRD)</w:t>
      </w:r>
    </w:p>
    <w:p>
      <w:pPr>
        <w:pStyle w:val="Normal"/>
        <w:spacing w:before="0" w:after="120"/>
        <w:rPr/>
      </w:pPr>
      <w:r>
        <w:rPr/>
        <w:t>The fraud engine operates independently of, but in coordination with, AML monitoring (AML module), sharing case management and blacklists.</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Real-time, in-line transaction screening before commit with decision outcomes: allow, allow-and-alert, step-up authentication, hold for review, block.</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rule engine (no code change) supporting conditions on transaction, customer, device, location, counterparty, time and aggregates.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Out-of-the-box rule library including: velocity (count/amount per period), unusual amount vs. customer profile, new device + high value, device change, geo-location inconsistency (impossible travel), repeated failed authentication, SIM change indicators, first-time beneficiary, round-amount structuring, rapid in-out (pass-through), dormant-account sudden activity, merchant/agent anomalies (refund abuse, self-dealing, split transactions).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Aggregate/profile computation (rolling windows) with in-memory performance so that in-line screening adds ≤ 50 ms at p95.</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Dynamic blacklisting and whitelisting of users, NIDs, mobile numbers, devices, IP addresses, merchants, agents and bank accounts with expiry dates.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Risk scoring: rule-weighted risk score per transaction in R1; ML/behavioural risk-scoring model support (champion/challenger, model score as rule input) in R3.</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 / 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 / 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SIM-swap detection: device-level SIM change detection (SIM serial/carrier change where OS permits, SIM binding at registration) in R1; MNO SIM-swap API integration when available.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Case management: alerts grouped into cases, assignment, investigation notes, evidence, escalation, decisions (confirm fraud / false positive), actions (block, reverse, report) and closure, with SLA.</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Rule simulation/back-testing on historical data and rule versioning with maker-checker before activation.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Fraud dashboards and reports: alerts by rule, false-positive rate, confirmed fraud value, loss ratio, recovery, trends by channel/geography/partner.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fraud events, alerts, decisions and actions logged and auditable, and forwarded to SIEM where security-relevant.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Fraud reporting/feedback from customers (in-app "report fraud") feeding into case management.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54" w:name="__RefHeading___Toc13025_2869911984"/>
      <w:bookmarkEnd w:id="54"/>
      <w:r>
        <w:rPr/>
        <w:t>4.25 AML/CFT Compliance (AML)</w:t>
      </w:r>
    </w:p>
    <w:p>
      <w:pPr>
        <w:pStyle w:val="Normal"/>
        <w:spacing w:before="0" w:after="120"/>
        <w:rPr/>
      </w:pPr>
      <w:r>
        <w:rPr/>
        <w:t>AML functionality is provided built-in within the platform (transaction monitoring, screening, case management and regulatory reporting), with an integration interface to an external AML system if the Operator adopts one.</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and partner screening against UN Security Council consolidated lists, BFIU/Bangladesh domestic lists, OFAC, EU, UK HMT and internal watchlists at onboarding, on every list update (re-screening), and for remittance counterparties.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Fuzzy name matching with Bangla/English transliteration support and configurable match thresholds; screening hits routed to compliance review.</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PEP/IP (influential person) identification and enhanced due diligence workflow with senior management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Post-transaction monitoring scenarios (configurable): structuring, high cash activity, rapid movement of funds, unusual activity vs. profile, many-to-one / one-to-many patterns, transactions with high-risk geographies (remittance), dormant reactivation, agent/merchant anomalies.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Threshold-based Cash Transaction Report (CTR) data extraction per BFIU thresholds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Alert and case management for AML with investigation workflow, four-eyes decisions and full audit.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STR/SAR preparation and export in goAML-compatible XML format for submission to BFIU.</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risk re-grading triggered by monitoring outcomes; periodic review scheduling by risk grade.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Freezing/blocking of funds/accounts on regulatory instruction (lien on specified amount or full block), with reference to instruction.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interface (API/file) to export transactions, customers and alerts to an external AML system, and to receive alerts back, if the Operator adopts one.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 MIS reports for CAMLCO and BFIU inspection (alerts, STRs, screening hits, EDD cases, training data if maintained).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55" w:name="__RefHeading___Toc13027_2869911984"/>
      <w:bookmarkEnd w:id="55"/>
      <w:r>
        <w:rPr/>
        <w:t>4.26 Limit &amp; Tier Management Engine (LIM)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Tier definitions linked to KYC level and risk category, for each user category (customer, agent, merchant, distributor, institutional partner).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Limits configurable per transaction type (cash-in, cash-out, P2P send/receive, merchant payment, bill payment, add money, bank transfer, MFS transfer, remittance, bulk disbursement credit, etc.) and per dimension: per transaction (min/max), daily/weekly/monthly count and amount, and maximum balance.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Limit hierarchy with precedence: regulatory cap → tier limit → product/channel limit → individual override (override cannot exceed regulatory cap).</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Individual (customer/partner-specific) limit overrides with expiry date, maker-checker and reason.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Emergency controls: global or segment-level freeze of a transaction type/channel, and temporary limit reduction with immediate effect, with maker-checker (or emergency single-approval with post-facto review,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Real-time limit checking and usage counters with ≤ 10 ms p95 added latency; counters reset on configured calendar boundaries.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Customer-visible limits and remaining headroom in app/USSD.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limit configuration changes logged with before/after values and traceable.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self-set lower limits (e.g. daily spending cap) as a safety feature.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56" w:name="__RefHeading___Toc13029_2869911984"/>
      <w:bookmarkEnd w:id="56"/>
      <w:r>
        <w:rPr/>
        <w:t>4.27 Device Management &amp; Session Control (DEV)</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Device binding at first login: a device-specific key pair generated in hardware-backed keystore and registered to the wallet.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policy: single device per wallet or N devices; per user category (e.g. agents single device).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New-device login detection with additional authentication (OTP to registered mobile + PIN, biometric/selfie match configurable), cooling period on high-value transactions from a new device.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Device registry: device ID, model, OS version, app version, first/last seen, status; viewable by authorised back-office users.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Remote device de-registration and session termination by customer (from another channel/call centre) and by back office.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Active session logs and concurrent session control (single active session per wallet configurable).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session timeout (idle and absolute) per channel; app auto-lock on background.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Root/jailbreak detection, emulator detection, hooking/tamper detection, app integrity attestation (Play Integrity / App Attest); configurable response (warn, restrict, block).</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SIM change detection alerts (see FRD-007) and suspicious login monitoring (unusual time, location, rapid device switching).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Screenshot/screen-recording prevention on sensitive screens; secure keyboard for PIN entry; no sensitive data in app cache/logs.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Detailed logging of device registration and login activity, fully auditable.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57" w:name="__RefHeading___Toc13031_2869911984"/>
      <w:bookmarkEnd w:id="57"/>
      <w:r>
        <w:rPr/>
        <w:t>4.28 Liquidity &amp; Float Management (LIQ)</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Real-time dashboard of e-money balances of agents, distributors and merchants, with map and hierarchy views, pending settlements and transaction capacity.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low-balance and high-balance thresholds per partner/category with alerts to the partner, its distributor and Operator operations.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Float top-up request workflow: partner request → distributor/Operator approval → e-money transfer (from distributor wallet or issuance against deposited funds) with status tracking.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Float return/withdrawal workflow: partner returns excess e-money to distributor or redeems to bank.</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Settlement account balances and wallet float reconciliation visible in centralised dashboards.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Reports on liquidity patterns, float utilisation, agent liquidity availability, stock-out incidents.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Liquidity shortfall prediction per agent/area (see RPT-012).</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Super-agent and partner-bank liquidity support: designated super-agents and partner bank branches can act as liquidity points for agents (cash ↔ e-money exchange) with ledger tracking.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58" w:name="__RefHeading___Toc13033_2869911984"/>
      <w:bookmarkEnd w:id="58"/>
      <w:r>
        <w:rPr/>
        <w:t>4.29 API Gateway &amp; Integration Management (API)</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gateway fronting all external and channel APIs, supporting REST/JSON (and SOAP/ISO 8583/ISO 20022 adaptors behind the gateway where counterparties require).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Authentication with OAuth 2.0 (client credentials, authorization code with PKCE for apps), mutual TLS for partner integrations, signed requests (HMAC/JWS) for financial APIs.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key and client credential management: issuance, rotation, revocation, scopes, expiry.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Rate limiting, quotas and traffic throttling per client/API; spike arrest; circuit breakers for downstream dependencies.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Monitoring dashboards: calls, latency, errors, by client and API; alerting on thresholds.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Detailed API usage logs (with sensitive fields masked) retained per retention policy and forwarded to SIEM.</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versioning and backward compatibility policy; developer documentation (OpenAPI 3.x) and sandbox for partners.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management: configuration of endpoints, credentials (in vault), time-outs, retries, certificate management, and health checks per integration.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for using the Operator's enterprise API gateway if mandated, instead of or in front of the supplied gateway.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Input validation, schema validation and protection against OWASP API Top 10 threats at the gateway.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59" w:name="__RefHeading___Toc13035_2869911984"/>
      <w:bookmarkEnd w:id="59"/>
      <w:r>
        <w:rPr/>
        <w:t>4.30 Data Archiving &amp; Retention (ARC)</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retention periods per data category: transactions, customer/KYC records, audit logs, compliance documents, notification logs, API logs, system logs (defaults in Section 8.3).</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lifecycle states: Active, Archived, Pending deletion, Deleted (purged), with legal-hold flag preventing archival/deletion.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Automated archival jobs moving data beyond the active window to encrypted archive storage, with integrity verification.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Search and retrieval of archived data for regulatory inspection, audit and disputes within defined time (see NFR-PER).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Secure deletion/anonymisation after retention expiry, with approval workflow and deletion certificates.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lifecycle events (archival, modification, deletion, restore) logged and auditable.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Secure backup procedures integrated with the backup policy (NFR-AVL).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60" w:name="__RefHeading___Toc13037_2869911984"/>
      <w:bookmarkEnd w:id="60"/>
      <w:r>
        <w:rPr/>
        <w:t>4.31 Audit Trail &amp; System Traceability (AUD)</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Tamper-evident audit trail capturing: (i) user activities including login/logout and access to sensitive functions/data; (ii) configuration changes including limits, fees and rules with before/after values; (iii) financial transactions including initiation, approval and reversal; (iv) administrative actions including maker-checker approvals, account status changes and role/permission changes.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Each audit record shall capture: actor (user ID, role), timestamp (synchronised NTP, UTC + local), action, affected entity and ID, before/after values where applicable, channel, IP/device, outcome and correlation ID.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logs shall be immutable (append-only, write-once storage or cryptographic hash chaining) and any tampering attempt shall be detectable.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Audit logs searchable and exportable by authorised auditor roles; access to audit logs itself audited.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logs retained per ARC policy and forwarded to SIEM in near real 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Privileged and database-administrator activities captured (via PAM/DAM integration) as part of the audit trail.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61" w:name="__RefHeading___Toc13039_2869911984"/>
      <w:bookmarkEnd w:id="61"/>
      <w:r>
        <w:rPr/>
        <w:t>4.32 Fee, Charge &amp; Tax Engine (FEE)</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fee plans per transaction type, channel, user category/tier, merchant category and amount slab: fixed, percentage, slab, min/max caps, free-transaction allowances.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 bearer configuration: payer, payee, shared, or the Operator (waived).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VAT on fees calculated and posted to VAT payable ledger at configured rate.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 display before confirmation in all channels; fee reversal rules on transaction reversal.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Effective-dated fee plans with scheduling, versioning and maker-checker.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Discount Rate (MDR) and biller fee/commission configuration.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62" w:name="__RefHeading___Toc13041_2869911984"/>
      <w:bookmarkEnd w:id="62"/>
      <w:r>
        <w:rPr/>
        <w:t>4.33 User, Role &amp; System Administration (ADM)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user management: create, modify, disable users; assign roles; region/area/data scope restriction; maker-checker on all changes.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Fine-grained RBAC: permissions at function and action level (view, create, approve, export), with segregation-of-duties rules preventing toxic combinations (e.g. maker + checker of same function).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Periodic access review reports (users, roles, last login, dormant users) and automatic disabling of dormant users after configurable period.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Rules engine administration for limits, fees, risk scoring and compliance thresholds without code modification.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 configuration (wallet types, transaction types, channels, service enable/disable per licence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Content management for app banners, FAQs, help content and legal documents, with approval.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Geographic master data management (division, district, upazila, union) with versioning.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r>
        <w:rPr/>
        <w:t xml:space="preserve">4.34 General Ledger &amp; Accounting (GLD)</w:t>
      </w:r>
    </w:p>
    <w:p>
      <w:pPr>
        <w:pStyle w:val="Normal"/>
        <w:spacing w:before="0" w:after="120"/>
        <w:rPr/>
      </w:pPr>
      <w:r>
        <w:rPr/>
        <w:t xml:space="preserve">The General Ledger (GL) service keeps the Operator's official books. It turns every committed ledger posting into double-entry accounting in the Operator's chart of accounts through versioned posting rules, adds accounting-only entries (bank charges, accruals, opening balances, year-end close), closes the books day by day, month by month and year by year, and produces the trial balance, balance sheet, profit and loss and a daily ERP journal file. The ledger (4.2) remains the only place where money moves; each closed GL day is certified independently by reconciliation (REC-012).</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system shall provide a General Ledger service that keeps the Operator's official books separately from the money-moving ledger; the General Ledger shall never move money, call a ledger command or alter a ledger posting.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GLD-002</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be the single owner of the chart of accounts: account hierarchy (up to 6 levels), class (asset, liability, equity, income, expense), normal side, contra, postable/header, ledger-controlled, manual-posting-allowed and must-be-zero attributes.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Chart-of-accounts changes (create, rename, re-parent, deactivate) shall require maker-checker approval; account code and class never change; an account can be deactivated only with a zero balance in every open period and no posting rule targeting it.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GLD-004</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provisional seed chart of accounts (v0, 56 accounts) shall be delivered and confirmed or replaced by the Operator's Finance before go-live (B-08); every account change shall be published to consuming services.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Per-instance accounts (e.g. one GL account per trust/settlement bank account) shall be created automatically from an approved account template when first used.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GLD-006</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Mapping of ledger postings to GL accounts shall be configured as versioned, effective-dated posting-rule sets (keys: ledger account type, side, transaction code, transaction type, reason, counterparty), with the most specific rule winning; remapping shall need no code change.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posting-rule set shall be validated against the complete universe of ledger posting combinations (exactly one rule per combination, valid and active targets) before it can be proposed, and shall be approved by maker-checker; rule sets effective in the past restate affected days.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GLD-008</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Finance users shall be able to simulate a posting-rule set against sample ledger transfers without posting anything.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ingest every committed ledger posting exactly once from the ledger change stream, with no double counting or loss under restarts, rebalancing or duplicate publication, and without affecting the payment path.</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GLD-010</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Each ledger leg shall produce exactly one debit and one credit GL line of the same amount; pending holds and voided holds shall produce no GL lines; posted holds shall.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posting no rule maps, or whose wallet type is unknown, shall never be dropped or guessed: it shall be booked to a GL suspense account with a critical exception and re-keyed to the correct account once the missing fact is known.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GLD-012</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business date shall be derived from the configured EOD cut-off (BOM-010); every line shall keep value date and posting date; a late posting for a closed day of an open period shall restate that day; a posting for a closed period shall be booked on the first open day with an alert.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derive one ledger day journal per business day and revision from all ledger postings of that day; a new revision supersedes the previous one so that no posting is counted twice.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GLD-014</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Each business day shall close automatically after the cut-off plus a configurable grace period, once all ledger data for the day has been received, without stopping online transaction processing (LED-013).</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Day close shall run control checks: every journal balanced; trial balance zero-sum; GL trust and system accounts equal to the ledger balances; sub-ledger summary complete; must-be-zero accounts at zero; no manual line on ledger-controlled accounts; normal-balance warnings. Outcome: Closed, Closed with exceptions or Failed.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GLD-016</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At each close the General Ledger shall publish control totals per ledger bucket for reconciliation; a closed day shall become Certified only by the reconciliation GL tie-out (REC-012); the General Ledger shall never certify itself.</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day not ready 90 minutes after the cut-off shall raise a high-severity exception and repeated Finance notifications; Finance may force-close it with maker-checker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GLD-018</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closed day of an open period shall be restated as a new revision (late postings, back-dated journals, retroactive rule sets, approved restatement request); previous revisions remain retrievable and certification returns to pending.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Finance shall be able to post balanced manual journals (2–200 lines, narration, document reference) to GL-only accounts such as bank charges and operating expenses, with maker-checker approval and a second approval level at or above a configurable threshold (default Tk 1,000,000).</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GLD-020</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Ledger-controlled GL accounts (e-money liabilities, trust banks, VAT and AIT payable, ledger suspense and clearing, liens) shall accept only ledger-derived lines; corrections of e-money balances shall be made as ledger adjustments (BOM-006).</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support accrual journals that reverse automatically on a specified later date.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GLD-022</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Posted journals shall be immutable; corrections shall be made by reversal journals (all sides swapped) with the same approval levels as the original.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Opening balances of GL-only accounts shall be entered once, before the first GL business day is closed, with two-level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GLD-024</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Trust-account interest recorded by Treasury shall optionally be booked automatically (configurable, default off) as interest receivable and interest income.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maintain a fiscal calendar (fiscal year start month configurable, default July) with monthly accounting periods and business days.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GLD-026</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Month close shall require every day closed and certified, no pending journals, no open critical exceptions and the previous month closed, with two-level approval; the latest closed month may be reopened with a reason and two-level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Fiscal-year close shall bring every income and expense account to zero with a year-end journal to retained earnings, after all months of the year are closed.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GLD-028</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produce a trial balance (postable or roll-up level) as of a date, for a date range or for a period, in JSON and CSV.</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produce a balance sheet (including current-year result) and a profit and loss statement (by account or by product), and a GL account statement with running balance.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GLD-030</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All reports shall include a real-time provisional view of open days (overlay) computed with the applicable posting rules.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For each closed day the General Ledger shall produce a daily ERP journal file (generic CSV with control trailer and checksum); a restated day produces a new version superseding the previous; regeneration requires approval; ERP-specific formats are pluggable (INT-01, B-18).</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GLD-032</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exceptions (unmapped posting, unknown account, control break, failed certification, blocked close, invalid ledger event) shall be registered with severity and resolution notes; critical exceptions require a Finance checker to resolve; Finance staff shall be notified of blocked close, unmapped postings, failed certification, export ready/failed and period status changes.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Every General Ledger state change shall be audited and every approval-controlled action shall follow maker-checker (BOM-004, BOM-005); the General Ledger shall hold no personal data; GL journals, balances and exports shall be retained for 10 years.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GLD-034</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Hierarchical (distributor) commission accruals shall be booked as accrual journals from commission events (COM-002); until then commission is expensed at settlement.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R2</w:t>
            </w:r>
          </w:p>
        </w:tc>
      </w:tr>
    </w:tbl>
    <w:p>
      <w:pPr>
        <w:pStyle w:val="Normal"/>
        <w:spacing w:before="0" w:after="120"/>
        <w:rPr/>
      </w:pPr>
      <w:r>
        <w:rPr/>
      </w:r>
    </w:p>
    <w:p>
      <w:pPr>
        <w:pStyle w:val="Normal"/>
        <w:spacing w:before="0" w:after="120"/>
        <w:rPr/>
      </w:pPr>
      <w:r>
        <w:rPr>
          <w:b/>
          <w:bCs/>
        </w:rPr>
        <w:t xml:space="preserve">Business rules</w:t>
      </w:r>
    </w:p>
    <w:p>
      <w:pPr>
        <w:pStyle w:val="ListParagraph"/>
        <w:numPr>
          <w:ilvl w:val="0"/>
          <w:numId w:val="1"/>
        </w:numPr>
        <w:spacing w:before="0" w:after="60"/>
        <w:rPr/>
      </w:pPr>
      <w:r>
        <w:rPr/>
        <w:t xml:space="preserve">BR-GLD-01: The General Ledger only adds amounts the ledger posted (and amounts a maker typed); money is held as integer poisha and never multiplied, divided or rounded in the General Ledger.</w:t>
      </w:r>
    </w:p>
    <w:p>
      <w:pPr>
        <w:pStyle w:val="ListParagraph"/>
        <w:numPr>
          <w:ilvl w:val="0"/>
          <w:numId w:val="1"/>
        </w:numPr>
        <w:spacing w:before="0" w:after="60"/>
        <w:rPr/>
      </w:pPr>
      <w:r>
        <w:rPr/>
        <w:t xml:space="preserve">BR-GLD-02: Nothing dated in a closed accounting period ever changes; late items are booked on the first open day with their original value date.</w:t>
      </w:r>
    </w:p>
    <w:p>
      <w:pPr>
        <w:pStyle w:val="ListParagraph"/>
        <w:numPr>
          <w:ilvl w:val="0"/>
          <w:numId w:val="1"/>
        </w:numPr>
        <w:spacing w:before="0" w:after="60"/>
        <w:rPr/>
      </w:pPr>
      <w:r>
        <w:rPr/>
        <w:t xml:space="preserve">BR-GLD-03: Business date = calendar date (Asia/Dhaka) of the ledger posting time minus the configured EOD cut-off.</w:t>
      </w:r>
    </w:p>
    <w:p>
      <w:pPr>
        <w:pStyle w:val="ListParagraph"/>
        <w:numPr>
          <w:ilvl w:val="0"/>
          <w:numId w:val="1"/>
        </w:numPr>
        <w:spacing w:before="0" w:after="60"/>
        <w:rPr/>
      </w:pPr>
      <w:r>
        <w:rPr/>
        <w:t xml:space="preserve">BR-GLD-04: Chart of accounts v0 (56 accounts), posting-rule set v1 (51 rules), approval thresholds and the fiscal-year start are provisional configuration data, confirmed by the Operator's Finance (B-08, B-19, B-21).</w:t>
      </w:r>
    </w:p>
    <w:p>
      <w:pPr>
        <w:pStyle w:val="Normal"/>
        <w:rPr/>
      </w:pPr>
      <w:r>
        <w:rPr/>
      </w:r>
      <w:r>
        <w:br w:type="page"/>
      </w:r>
    </w:p>
    <w:p>
      <w:pPr>
        <w:pStyle w:val="Heading1"/>
        <w:spacing w:before="0" w:after="160"/>
        <w:rPr/>
      </w:pPr>
      <w:bookmarkStart w:id="63" w:name="__RefHeading___Toc13043_2869911984"/>
      <w:bookmarkEnd w:id="63"/>
      <w:r>
        <w:rPr/>
        <w:t>5. Key Use Cases</w:t>
      </w:r>
    </w:p>
    <w:p>
      <w:pPr>
        <w:pStyle w:val="Normal"/>
        <w:spacing w:before="0" w:after="120"/>
        <w:rPr/>
      </w:pPr>
      <w:r>
        <w:rPr/>
        <w:t>The following use cases describe the main end-to-end flows. Detailed screen-level flows and alternative paths will be elaborated in the Functional Design Specification (FDS) during the Customisation phase.</w:t>
      </w:r>
    </w:p>
    <w:p>
      <w:pPr>
        <w:pStyle w:val="Heading2"/>
        <w:rPr/>
      </w:pPr>
      <w:bookmarkStart w:id="64" w:name="__RefHeading___Toc13045_2869911984"/>
      <w:bookmarkEnd w:id="64"/>
      <w:r>
        <w:rPr/>
        <w:t>UC-01 Customer Self-Onboarding with e-KYC</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(smartphone)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App installed; customer has an NID and a mobile number registered in own name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Trigger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taps "Open Account"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Select language (default Bangla). 2. Enter mobile number; verify OTP; device binding initiated. 3. Capture NID front/back; OCR extracts data; customer confirms. 4. System verifies NID with EC e-KYC service. 5. Capture live selfie; liveness + face-match. 6. Customer enters nominee, occupation, income band. 7. Screening and risk grading run automatically. 8. Customer accepts T&amp;C and consents. 9. Customer sets PIN. 10. Wallet activated at assigned tier; welcome SMS and in-app message.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 Face-match in review band → application pending, routed to review queue; customer notified. A2: Screening hit → pending compliance review. A3: Duplicate NID/mobile → rejected with guidance to contact support. A4: e-KYC service unavailable → save progress, retry automatically, notify customer.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created, KYC tier assigned, audit trail complete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ONB-001 – ONB-025, AUT-001, DEV-001, AML-001</w:t>
            </w:r>
          </w:p>
        </w:tc>
      </w:tr>
    </w:tbl>
    <w:p>
      <w:pPr>
        <w:pStyle w:val="Normal"/>
        <w:spacing w:before="0" w:after="120"/>
        <w:rPr/>
      </w:pPr>
      <w:r>
        <w:rPr/>
      </w:r>
    </w:p>
    <w:p>
      <w:pPr>
        <w:pStyle w:val="Heading2"/>
        <w:rPr/>
      </w:pPr>
      <w:bookmarkStart w:id="65" w:name="__RefHeading___Toc13047_2869911984"/>
      <w:bookmarkEnd w:id="65"/>
      <w:r>
        <w:rPr/>
        <w:t>UC-02 Send Money (P2P)</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(sender); the recipient may use the app or USSD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Both wallets active; sender authenticated on a bound device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Sender selects Send Money, enters the recipient's mobile number (or picks a contact/QR) and amount. 2. System shows recipient name, fee and total debit. 3. Sender confirms with PIN/biometric. 4. Duplicate check on the client reference; wallet status, limits, fraud and AML checks pass. 5. Ledger posts principal, fee and VAT as one atomic set of linked postings. 6. Sender sees success with transaction ID (≤ 300 ms p99 server-side). 7. Recipient receives SMS/push; statements, fraud monitoring and reconciliation update asynchronously.</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 Limit exceeded → declined with remaining headroom. A2: Fraud hold → step-up or review. A3: App resends after a network glitch → same client reference returns the original result; no second posting. A4: Interruption after ledger commit → recovery job completes the status from the ledger.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PAY-001, PAY-011 – PAY-013, LED-001, LED-008, FEE-001, LIM-006, FRD-001</w:t>
            </w:r>
          </w:p>
        </w:tc>
      </w:tr>
    </w:tbl>
    <w:p>
      <w:pPr>
        <w:pStyle w:val="Normal"/>
        <w:spacing w:before="0" w:after="120"/>
        <w:rPr/>
      </w:pPr>
      <w:r>
        <w:rPr/>
      </w:r>
    </w:p>
    <w:p>
      <w:pPr>
        <w:pStyle w:val="Heading2"/>
        <w:rPr/>
      </w:pPr>
      <w:bookmarkStart w:id="66" w:name="__RefHeading___Toc13049_2869911984"/>
      <w:bookmarkEnd w:id="66"/>
      <w:r>
        <w:rPr/>
        <w:t>UC-03 Bulk Salary Disbursement</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Institutional partner (employer) maker and checker; system</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Employer onboarded (KYB) with a funded disbursement wallet; portal or API access granted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Maker uploads a disbursement file (or submits via API). 2. System validates every row (wallet exists and is active, KYC tier and limit headroom, optional name match) and shows a validation report. 3. Checker approves. 4. System posts transfers in large batches; each row's transfer is keyed by batch ID + row number. 5. Recipients notified by SMS/push. 6. Final report: paid and failed rows with reasons; unpaid amounts remain in the employer wallet.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Re-run</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Re-running a partially processed batch pays only unpaid rows; no recipient is paid twice.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Unregistered recipients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Optional pre-registration of recipients supplied by the employer (ONB-020) or cash-out token (CIC-004).</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Exceptions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Insufficient funding → batch not started; per-row failure (inactive wallet, limit breach) → row failed with reason, batch continues.</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PAY-007, PRT-012, BOM-009, ONB-020, CIC-004, PER-010</w:t>
            </w:r>
          </w:p>
        </w:tc>
      </w:tr>
    </w:tbl>
    <w:p>
      <w:pPr>
        <w:pStyle w:val="Normal"/>
        <w:spacing w:before="0" w:after="120"/>
        <w:rPr/>
      </w:pPr>
      <w:r>
        <w:rPr/>
      </w:r>
    </w:p>
    <w:p>
      <w:pPr>
        <w:pStyle w:val="Heading2"/>
        <w:rPr/>
      </w:pPr>
      <w:bookmarkStart w:id="67" w:name="__RefHeading___Toc13051_2869911984"/>
      <w:bookmarkEnd w:id="67"/>
      <w:r>
        <w:rPr/>
        <w:t>UC-04 Cash-Out at Agent</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Agent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Customer selects Cash Out, scans agent QR or enters agent number, enters amount. 2. System shows fee and agent name. 3. Customer confirms with PIN. 4. Limits, fraud and AML checks pass. 5. Customer wallet debited (amount + fee); agent float credited; commission accrued. 6. Both receive notifications; agent pays cash.</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Exceptions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Limit exceeded → declined with remaining limit; fraud hold → step-up or review.</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CIC-002, CIC-007 – CIC-010, COM-003, FRD-001</w:t>
            </w:r>
          </w:p>
        </w:tc>
      </w:tr>
    </w:tbl>
    <w:p>
      <w:pPr>
        <w:pStyle w:val="Normal"/>
        <w:spacing w:before="0" w:after="120"/>
        <w:rPr/>
      </w:pPr>
      <w:r>
        <w:rPr/>
      </w:r>
    </w:p>
    <w:p>
      <w:pPr>
        <w:pStyle w:val="Heading2"/>
        <w:rPr/>
      </w:pPr>
      <w:bookmarkStart w:id="68" w:name="__RefHeading___Toc13053_2869911984"/>
      <w:bookmarkEnd w:id="68"/>
      <w:r>
        <w:rPr/>
        <w:t>UC-05 Bangla QR Merchant Payment</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Merchant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Customer scans Bangla QR. 2. App parses merchant data (on-us or off-us), shows merchant name; for static QR customer enters amount. 3. Confirms with PIN/biometric. 4. On-us: internal posting; Off-us: routed through scheme. 5. Merchant receives instant Bangla voice/push notification; both get receipts. 6. Settlement per merchant cycle.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MER-001 – MER-006, PAY-005, REC-006</w:t>
            </w:r>
          </w:p>
        </w:tc>
      </w:tr>
    </w:tbl>
    <w:p>
      <w:pPr>
        <w:pStyle w:val="Normal"/>
        <w:spacing w:before="0" w:after="120"/>
        <w:rPr/>
      </w:pPr>
      <w:r>
        <w:rPr/>
      </w:r>
    </w:p>
    <w:p>
      <w:pPr>
        <w:pStyle w:val="Heading2"/>
        <w:rPr/>
      </w:pPr>
      <w:bookmarkStart w:id="69" w:name="__RefHeading___Toc13055_2869911984"/>
      <w:bookmarkEnd w:id="69"/>
      <w:r>
        <w:rPr/>
        <w:t>UC-06 Add Money from Bank via NPSB</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selects Add Money → Bank. 2. Chooses linked bank account or initiates pull. 3. Authenticates per bank/scheme flow. 4. On scheme success, funds confirmed to settlement account; e-money issued; wallet credited. 5. Notification sent.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Exceptions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Pending/unknown status → status enquiry; credit only on confirmation; failed → customer informed, no e-money created.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ADD-001, ADD-006, ADD-008, EMY-001</w:t>
            </w:r>
          </w:p>
        </w:tc>
      </w:tr>
    </w:tbl>
    <w:p>
      <w:pPr>
        <w:pStyle w:val="Normal"/>
        <w:spacing w:before="0" w:after="120"/>
        <w:rPr/>
      </w:pPr>
      <w:r>
        <w:rPr/>
      </w:r>
    </w:p>
    <w:p>
      <w:pPr>
        <w:pStyle w:val="Heading2"/>
        <w:rPr/>
      </w:pPr>
      <w:bookmarkStart w:id="70" w:name="__RefHeading___Toc13057_2869911984"/>
      <w:bookmarkEnd w:id="70"/>
      <w:r>
        <w:rPr/>
        <w:t>UC-07 Bill Payment via ekPay</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selects biller. 2. Enters account number; system fetches bill. 3. Confirms amount and fee with PIN. 4. Payment sent to ekPay; on success receipt (and token for prepaid). 5. Daily biller reconciliation.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Exceptions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Time-out → status enquiry; failed → automatic refund.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BIL-001, BIL-003, BIL-005, BIL-007</w:t>
            </w:r>
          </w:p>
        </w:tc>
      </w:tr>
    </w:tbl>
    <w:p>
      <w:pPr>
        <w:pStyle w:val="Normal"/>
        <w:spacing w:before="0" w:after="120"/>
        <w:rPr/>
      </w:pPr>
      <w:r>
        <w:rPr/>
      </w:r>
    </w:p>
    <w:p>
      <w:pPr>
        <w:pStyle w:val="Heading2"/>
        <w:rPr/>
      </w:pPr>
      <w:bookmarkStart w:id="71" w:name="__RefHeading___Toc13059_2869911984"/>
      <w:bookmarkEnd w:id="71"/>
      <w:r>
        <w:rPr/>
        <w:t>UC-08 Inbound International Remittance</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Partner bank calls beneficiary validation API. 2. Bits Pay returns name match and eligibility. 3. Partner sends credit instruction with sender details and incentive amount. 4. Screening passes; wallet credited (principal and incentive as linked lines). 5. Beneficiary notified. 6. Daily settlement and reconciliation with partner.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REM-002 – REM-007, AML-001</w:t>
            </w:r>
          </w:p>
        </w:tc>
      </w:tr>
    </w:tbl>
    <w:p>
      <w:pPr>
        <w:pStyle w:val="Normal"/>
        <w:spacing w:before="0" w:after="120"/>
        <w:rPr/>
      </w:pPr>
      <w:r>
        <w:rPr/>
      </w:r>
    </w:p>
    <w:p>
      <w:pPr>
        <w:pStyle w:val="Heading2"/>
        <w:rPr/>
      </w:pPr>
      <w:bookmarkStart w:id="72" w:name="__RefHeading___Toc13061_2869911984"/>
      <w:bookmarkEnd w:id="72"/>
      <w:r>
        <w:rPr/>
        <w:t>UC-09 Transfer to Bank or Other MFS (NPSB / Binimoy)</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selects Transfer → Bank or MFS, enters account/wallet number and amount. 2. Name enquiry where supported; fee shown. 3. Customer confirms with PIN. 4. Limits, fraud and AML checks pass; amount + fee placed on hold in the ledger toward the scheme settlement account. 5. Customer is told "Processing". 6. Adapter calls NPSB/Binimoy with safe retries. 7. On success the hold is posted (e-money redeemed); on failure the hold is voided and the customer is refunded; on unknown status, status enquiry continues until resolved. 8. Customer notified of the final outcome.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PAY-002, PAY-003, PAY-014, LED-010, EMY-002, INT-G02</w:t>
            </w:r>
          </w:p>
        </w:tc>
      </w:tr>
    </w:tbl>
    <w:p>
      <w:pPr>
        <w:pStyle w:val="Normal"/>
        <w:spacing w:before="0" w:after="120"/>
        <w:rPr/>
      </w:pPr>
      <w:r>
        <w:rPr/>
      </w:r>
    </w:p>
    <w:p>
      <w:pPr>
        <w:pStyle w:val="Heading2"/>
        <w:rPr/>
      </w:pPr>
      <w:bookmarkStart w:id="73" w:name="__RefHeading___Toc13063_2869911984"/>
      <w:bookmarkEnd w:id="73"/>
      <w:r>
        <w:rPr/>
        <w:t>UC-10 Wallet Closure</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requests closure. 2. Identity verified. 3. Pre-checks (pending transactions, disputes, holds, regulatory freezes). 4. Customer chooses balance payout method. 5. Maker submits; checker approves. 6. Balance paid out; e-money destroyed if redeemed externally. 7. Status Closed; notification; audit.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ACL-001 – ACL-010, EMY-002</w:t>
            </w:r>
          </w:p>
        </w:tc>
      </w:tr>
    </w:tbl>
    <w:p>
      <w:pPr>
        <w:pStyle w:val="Normal"/>
        <w:spacing w:before="0" w:after="120"/>
        <w:rPr/>
      </w:pPr>
      <w:r>
        <w:rPr/>
      </w:r>
    </w:p>
    <w:p>
      <w:pPr>
        <w:pStyle w:val="Heading2"/>
        <w:rPr/>
      </w:pPr>
      <w:bookmarkStart w:id="74" w:name="__RefHeading___Toc13065_2869911984"/>
      <w:bookmarkEnd w:id="74"/>
      <w:r>
        <w:rPr/>
        <w:t>UC-11 Dispute &amp; Wrong-Transfer Resolution</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raises dispute (app/call centre). 2. Ticket created with SLA. 3. Agent investigates; where policy allows, places hold on recipient funds. 4. Resolution: reversal (maker-checker) or rejection with reason. 5. Notifications to all parties; ticket closed.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SUP-002 – SUP-008</w:t>
            </w:r>
          </w:p>
        </w:tc>
      </w:tr>
    </w:tbl>
    <w:p>
      <w:pPr>
        <w:pStyle w:val="Normal"/>
        <w:spacing w:before="0" w:after="120"/>
        <w:rPr/>
      </w:pPr>
      <w:r>
        <w:rPr/>
      </w:r>
    </w:p>
    <w:p>
      <w:pPr>
        <w:pStyle w:val="Heading2"/>
        <w:rPr/>
      </w:pPr>
      <w:bookmarkStart w:id="75" w:name="__RefHeading___Toc13067_2869911984"/>
      <w:bookmarkEnd w:id="75"/>
      <w:r>
        <w:rPr/>
        <w:t>UC-12 Daily Reconciliation &amp; E-Money Assurance</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Scheduled jobs ingest bank statements and NPSB, Binimoy, QR, biller and partner reports. 2. Matching engine reconciles. 3. Exceptions created and assigned. 4. E-money vs trust balance check; variance alert if non-zero. 5. Finance resolves exceptions with maker-checker adjustments. 6. Reconciliation reports archived.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REC-001 – REC-011, EMY-004</w:t>
            </w:r>
          </w:p>
        </w:tc>
      </w:tr>
    </w:tbl>
    <w:p>
      <w:pPr>
        <w:pStyle w:val="Normal"/>
        <w:spacing w:before="0" w:after="120"/>
        <w:rPr/>
      </w:pPr>
      <w:r>
        <w:rPr/>
      </w:r>
    </w:p>
    <w:p>
      <w:pPr>
        <w:pStyle w:val="Heading2"/>
        <w:rPr/>
      </w:pPr>
      <w:r>
        <w:rPr/>
        <w:t xml:space="preserve">UC-13 Daily GL Close &amp; ERP Export</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General Ledger service (scheduled); Finance (maker / checker)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Business day d is open; ledger postings for d are streaming to the General Ledger; the previous day is closed; the period is open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Trigger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EOD cut-off of day d plus grace period has passed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1. GL confirms every ledger stream partition is past the cut-off and no posting is deferred. 2. GL derives the ledger day journal with the applicable posting-rule set. 3. GL computes daily balances and control totals. 4. GL runs control checks (balanced, trial balance zero, ledger control, must-be-zero). 5. Day status set to Closed and GL_DAY_CLOSED published. 6. Reconciliation runs the GL tie-out and certifies the day. 7. GL produces the daily ERP journal file; Finance is notified; the ERP imports it.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A1: Day not ready 90 min after cut-off → high exception, Finance notified; force close with approval. A2: Unmapped posting → GL suspense, critical exception; Finance approves a corrected rule set; day restated and file re-issued as a new version. A3: Control check fails → Closed with exceptions or Failed (retried); Finance investigates. A4: Tie-out fails → certification Failed; month close blocked until resolved.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Day d closed and certified; trial balance, balance sheet and P&amp;L for d available; ERP file for d delivered with checksum; audit trail complete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GLD-009 – GLD-018, GLD-031, REC-012, LED-013, LED-014, INT-01</w:t>
            </w:r>
          </w:p>
        </w:tc>
      </w:tr>
    </w:tbl>
    <w:p>
      <w:pPr>
        <w:pStyle w:val="Normal"/>
        <w:spacing w:before="0" w:after="120"/>
        <w:rPr/>
      </w:pPr>
      <w:r>
        <w:rPr/>
      </w:r>
    </w:p>
    <w:p>
      <w:pPr>
        <w:pStyle w:val="Normal"/>
        <w:rPr/>
      </w:pPr>
      <w:r>
        <w:rPr/>
      </w:r>
      <w:r>
        <w:br w:type="page"/>
      </w:r>
    </w:p>
    <w:p>
      <w:pPr>
        <w:pStyle w:val="Heading1"/>
        <w:spacing w:before="0" w:after="160"/>
        <w:rPr/>
      </w:pPr>
      <w:bookmarkStart w:id="76" w:name="__RefHeading___Toc13069_2869911984"/>
      <w:bookmarkEnd w:id="76"/>
      <w:r>
        <w:rPr/>
        <w:t>6. External Interface Requirements</w:t>
      </w:r>
    </w:p>
    <w:p>
      <w:pPr>
        <w:pStyle w:val="Heading2"/>
        <w:rPr/>
      </w:pPr>
      <w:bookmarkStart w:id="77" w:name="__RefHeading___Toc13071_2869911984"/>
      <w:bookmarkEnd w:id="77"/>
      <w:r>
        <w:rPr/>
        <w:t>6.1 User Interfaces</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UI-001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end-user interfaces (customer app, partner app, USSD, IVR, chatbot, partner portal) shall be Bangla-first with English as an alternative; back office shall be English with Bangla display of customer names/addresses.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UI-002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customer app shall follow a design system approved by the Product Owner (Bits Pay branding, colours, typography with a Bangla Unicode font such as Noto Sans Bengali / Hind Siliguri).</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UI-003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Usability testing with representative customers (including rural, women and low-literacy users) shall be conducted before Pilot, and findings addressed.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UI-004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Consistent error messages with plain-language Bangla explanation and next step, plus error code for support.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UI-005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Amounts shall be displayed with BDT symbol (</w:t>
            </w:r>
            <w:r>
              <w:rPr>
                <w:rFonts w:ascii="Calibri" w:hAnsi="Calibri" w:eastAsia="Calibri"/>
                <w:sz w:val="17"/>
                <w:sz w:val="17"/>
                <w:szCs w:val="17"/>
              </w:rPr>
              <w:t>৳</w:t>
            </w:r>
            <w:r>
              <w:rPr>
                <w:rFonts w:eastAsia="Calibri" w:cs="Calibri"/>
                <w:sz w:val="17"/>
                <w:szCs w:val="17"/>
              </w:rPr>
              <w:t xml:space="preserve">) and grouping per Bangladesh convention (e.g. </w:t>
            </w:r>
            <w:r>
              <w:rPr>
                <w:rFonts w:ascii="Calibri" w:hAnsi="Calibri" w:eastAsia="Calibri"/>
                <w:sz w:val="17"/>
                <w:sz w:val="17"/>
                <w:szCs w:val="17"/>
              </w:rPr>
              <w:t>৳</w:t>
            </w:r>
            <w:r>
              <w:rPr>
                <w:rFonts w:eastAsia="Calibri" w:cs="Calibri"/>
                <w:sz w:val="17"/>
                <w:szCs w:val="17"/>
              </w:rPr>
              <w:t>1,00,000.00); Bangla numerals optional.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UI-006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screens shall support tables with sort/filter/export, consistent maker-checker indicators, and pending-approval badges.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78" w:name="__RefHeading___Toc13073_2869911984"/>
      <w:bookmarkEnd w:id="78"/>
      <w:r>
        <w:rPr/>
        <w:t>6.2 Hardware Interfaces</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HW-001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for device-native fingerprint and face biometrics on Android/iOS.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HW-002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for certified USB/OTG fingerprint scanners for EC biometric verification at assisted points (if ONB-006 enabled).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HW-003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for Bluetooth/thermal receipt printers at agent points (optional).</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HW-004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for Android POS/smart-POS devices for merchants/agents running the partner app.</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HW-005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Integration with network HSMs (FIPS 140-2 Level 3 or higher) for key management, PIN processing and signing.</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79" w:name="__RefHeading___Toc13075_2869911984"/>
      <w:bookmarkEnd w:id="79"/>
      <w:r>
        <w:rPr/>
        <w:t>6.3 Software Interfaces — Integration Catalogue</w:t>
      </w:r>
    </w:p>
    <w:tbl>
      <w:tblPr>
        <w:tblW w:w="9746" w:type="dxa"/>
        <w:jc w:val="left"/>
        <w:tblInd w:w="0" w:type="dxa"/>
        <w:tblLayout w:type="fixed"/>
        <w:tblCellMar>
          <w:top w:w="50" w:type="dxa"/>
          <w:left w:w="90" w:type="dxa"/>
          <w:bottom w:w="50" w:type="dxa"/>
          <w:right w:w="90" w:type="dxa"/>
        </w:tblCellMar>
      </w:tblPr>
      <w:tblGrid>
        <w:gridCol w:w="800"/>
        <w:gridCol w:w="1699"/>
        <w:gridCol w:w="2800"/>
        <w:gridCol w:w="2200"/>
        <w:gridCol w:w="1600"/>
        <w:gridCol w:w="646"/>
      </w:tblGrid>
      <w:tr>
        <w:trPr>
          <w:tblHeader w:val="true"/>
        </w:trPr>
        <w:tc>
          <w:tcPr>
            <w:tcW w:w="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16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Counterparty</w:t>
            </w:r>
          </w:p>
        </w:tc>
        <w:tc>
          <w:tcPr>
            <w:tcW w:w="2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Purpose</w:t>
            </w:r>
          </w:p>
        </w:tc>
        <w:tc>
          <w:tcPr>
            <w:tcW w:w="22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Method (assumed)</w:t>
            </w:r>
          </w:p>
        </w:tc>
        <w:tc>
          <w:tcPr>
            <w:tcW w:w="16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Mode</w:t>
            </w:r>
          </w:p>
        </w:tc>
        <w:tc>
          <w:tcPr>
            <w:tcW w:w="64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INT-01</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ERP / Accounting</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journal export (official books)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Daily journal file from the General Ledger service (GENERIC_CSV_V1 with control trailer and checksum); ERP-specific format or API when the ERP is chosen (B-18)</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Daily per closed business day; real-time view via GL reports</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INT-02</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EC NID / e-KYC provider</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NID verification, photo retrieval, (fingerprint)</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Provider REST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INT-03</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Trust/Settlement bank(s)</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Balance and statement retrieval, payouts, fund confirmation</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Bank API / host-to-host / SFTP (MT940, CSV)</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 + EOD</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INT-04</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NPSB (via sponsor bank)</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Wallet↔bank, wallet↔MFS transfers, add money</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Sponsor bank/NPSB API (ISO 8583/ISO 20022 as specified)</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 + settlement files</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INT-05</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 QR scheme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QR payment switching (issuer/acquirer)</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Scheme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 + settlement files</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INT-06</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ekPay</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Bill enquiry &amp; payment, government fees</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ekPay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 + reconciliation files</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INT-07</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Direct billers</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Bill enquiry &amp; payment</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Biller APIs</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INT-08</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top-up aggregator / MNOs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recharge</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Aggregator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INT-09</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Payment gateway / acquiring bank</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Card add-money (hosted page/SDK, 3DS)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Gateway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INT-10</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Remittance partner banks / RSPs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Beneficiary validation, credit, settlement</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 API exposed by Bits Pay</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 + daily settlement</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INT-11</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Binimoy</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Interoperable transfers to/from banks, MFS and PSPs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Binimoy API (ISO 20022 as specified)</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 + settlement files</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INT-12</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SMS gateway(s)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SMS, OTP, DLR</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SMPP/HTTP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INT-13</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Email service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Statements, portal notifications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SMTP/API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Async</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INT-14</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Push services (FCM, APNs)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Push notifications</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Provider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Async</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INT-15</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USSD aggregator</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USSD sessions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Aggregator HTTP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INT-16</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IVR / contact-centre platform</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IVR menus, outbound voice, CTI</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API/CTI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INT-17</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Sanctions/PEP data source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List download/updates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API/file</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Daily or on update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INT-18</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BFIU goAML</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STR/CTR submission</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goAML XML export/upload</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Periodic</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INT-19</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SIEM</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Security and audit log forwarding</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Syslog (TLS)/CEF/JSON over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Near 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INT-20</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AD/LDAP/SSO</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authentication</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LDAPS/SAML 2.0/OIDC</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INT-21</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PAM/DAM/EDR tools</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Privileged access, DB activity, endpoint security</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Agent/proxy as per tool</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Continuous</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INT-22</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data warehouse / AI platforms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feeds</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Documented APIs/CDC/file</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Batch/stream</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INT-23</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MNO SIM-swap API (if available)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SIM swap check</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MNO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bl>
    <w:p>
      <w:pPr>
        <w:pStyle w:val="Normal"/>
        <w:spacing w:before="0" w:after="120"/>
        <w:rPr/>
      </w:pPr>
      <w:r>
        <w:rPr/>
      </w:r>
    </w:p>
    <w:p>
      <w:pPr>
        <w:pStyle w:val="Normal"/>
        <w:spacing w:before="0" w:after="120"/>
        <w:rPr/>
      </w:pPr>
      <w:r>
        <w:rPr>
          <w:b/>
          <w:bCs/>
        </w:rPr>
        <w:t>General integration requirements</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INT-G01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Every integration shall have an Interface Control Document (ICD) agreed with the counterparty before build, covering message formats, security, error codes, time-outs, retries, idempotency, status enquiry and reconciliation.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INT-G02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Every financial integration shall support idempotent requests and status enquiry, and shall never leave a transaction in an unknown state beyond a configurable time-out without exception handling.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INT-G03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Integrations shall be isolated (bulkheads, circuit breakers) so that failure of one counterparty does not degrade unrelated services.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INT-G04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integration credentials, certificates and keys shall be stored in a secrets vault/HSM, rotated per policy, with expiry alerts.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INT-G05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Integration health dashboard showing status, latency, error rates and last successful call per counterparty.</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0" w:name="__RefHeading___Toc13077_2869911984"/>
      <w:bookmarkEnd w:id="80"/>
      <w:r>
        <w:rPr/>
        <w:t>6.4 Communication Interfaces</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COMM-001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external communication shall use TLS 1.2 or higher (TLS 1.3 preferred) with strong cipher suites; certificate pinning in mobile apps.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Partner/bank integrations shall use mutual TLS and/or IPsec VPN/MPLS links as agreed with each counterparty.</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COMM-003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Internal service-to-service communication shall be encrypted (mTLS) within the platform.</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Message queuing (durable, persistent) for asynchronous processing with at-least-once delivery and idempotent consumers.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1" w:name="__RefHeading___Toc13079_2869911984"/>
      <w:bookmarkEnd w:id="81"/>
      <w:r>
        <w:rPr/>
        <w:t>6.5 Regulatory Reporting Catalogue</w:t>
      </w:r>
    </w:p>
    <w:p>
      <w:pPr>
        <w:pStyle w:val="Normal"/>
        <w:spacing w:before="0" w:after="120"/>
        <w:rPr/>
      </w:pPr>
      <w:r>
        <w:rPr/>
        <w:t>The following reports are expected at go-live (final list and formats TBC by the Operator's Compliance — see Appendix B):</w:t>
      </w:r>
    </w:p>
    <w:tbl>
      <w:tblPr>
        <w:tblW w:w="9746" w:type="dxa"/>
        <w:jc w:val="left"/>
        <w:tblInd w:w="0" w:type="dxa"/>
        <w:tblLayout w:type="fixed"/>
        <w:tblCellMar>
          <w:top w:w="50" w:type="dxa"/>
          <w:left w:w="90" w:type="dxa"/>
          <w:bottom w:w="50" w:type="dxa"/>
          <w:right w:w="90" w:type="dxa"/>
        </w:tblCellMar>
      </w:tblPr>
      <w:tblGrid>
        <w:gridCol w:w="737"/>
        <w:gridCol w:w="4760"/>
        <w:gridCol w:w="1845"/>
        <w:gridCol w:w="1667"/>
        <w:gridCol w:w="737"/>
      </w:tblGrid>
      <w:tr>
        <w:trPr>
          <w:tblHeader w:val="true"/>
        </w:trPr>
        <w:tc>
          <w:tcPr>
            <w:tcW w:w="73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47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Report</w:t>
            </w:r>
          </w:p>
        </w:tc>
        <w:tc>
          <w:tcPr>
            <w:tcW w:w="18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Recipient</w:t>
            </w:r>
          </w:p>
        </w:tc>
        <w:tc>
          <w:tcPr>
            <w:tcW w:w="166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Frequency (indicative)</w:t>
            </w:r>
          </w:p>
        </w:tc>
        <w:tc>
          <w:tcPr>
            <w:tcW w:w="73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RR-01</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E-money outstanding and trust account position</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Daily / Monthly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RR-02</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PSP/DFS transaction statistics by type, channel, value, volume</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Monthly</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RR-03</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and wallet statistics (by gender, geography, KYC tier, active/inactive)</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Monthly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RR-04</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 / merchant / distributor network statistics</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Monthly / Quarterly</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RR-05</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complaints statistics and resolution</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Monthly / Quarterly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RR-06</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Suspicious Transaction / Activity Reports (STR/SAR)</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BFIU (goAML)</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As required</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RR-07</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 Transaction Reports (CTR)</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BFIU (goAML)</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Monthly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RR-08</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Inbound remittance report</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Monthly</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RR-09</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Cyber incident report</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 BGD e-GOV CIRT</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Within 72 hours of detection</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RR-10</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System availability / downtime report</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 (as required)</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As required</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RR-11</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Fraud incident and loss report</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 (as required)</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Quarterly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Normal"/>
        <w:rPr/>
      </w:pPr>
      <w:r>
        <w:rPr/>
      </w:r>
      <w:r>
        <w:br w:type="page"/>
      </w:r>
    </w:p>
    <w:p>
      <w:pPr>
        <w:pStyle w:val="Heading1"/>
        <w:spacing w:before="0" w:after="160"/>
        <w:rPr/>
      </w:pPr>
      <w:bookmarkStart w:id="82" w:name="__RefHeading___Toc13081_2869911984"/>
      <w:bookmarkEnd w:id="82"/>
      <w:r>
        <w:rPr/>
        <w:t>7. Non-Functional Requirements</w:t>
      </w:r>
    </w:p>
    <w:p>
      <w:pPr>
        <w:pStyle w:val="Heading2"/>
        <w:rPr/>
      </w:pPr>
      <w:bookmarkStart w:id="83" w:name="__RefHeading___Toc13083_2869911984"/>
      <w:bookmarkEnd w:id="83"/>
      <w:r>
        <w:rPr/>
        <w:t>7.1 Performance and Capacity (PER)</w:t>
      </w:r>
    </w:p>
    <w:p>
      <w:pPr>
        <w:pStyle w:val="Normal"/>
        <w:spacing w:before="0" w:after="120"/>
        <w:rPr/>
      </w:pPr>
      <w:r>
        <w:rPr/>
        <w:t>Sizing baseline (aligned with the Bits Pay architecture, REF-01): about 80 million wallets at maturity and a design peak of 20,000+ business (financial) transactions per second, typically on Eid and month-start salary days. The go-live configuration is sized from the Operator's business plan (Appendix B) and scaled horizontally toward the design peak without architectural change.</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platform shall sustain a peak of at least 20,000 business (financial) TPS on the full production configuration while meeting latency targets, demonstrated by load test before National Rollout.</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platform shall scale horizontally (adding stateless service nodes and data-tier capacity) from the go-live configuration to the 20,000+ TPS design peak without architectural change; go-live capacity shall be at least 2× the Operator's forecast Year-1 peak (TBC).</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Server-side response time for P2P send money, cash-out and merchant payment shall be ≤ 300 ms at p99, measured at the API gateway at design peak load, excluding external dependency latency.</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Balance enquiry and transaction history (last 30 days) ≤ 300 ms at p95 server-side.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Transactions dependent on external systems shall add no more than 200 ms p95 of Bits Pay overhead beyond the counterparty's response time; the customer shall receive a "Processing" response without waiting on the counterparty where the flow uses a hold.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platform shall support at least 2,000,000 concurrent app sessions and 50,000 concurrent USSD sessions at design scale, with go-live capacity sized from the business plan.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app cold start ≤ 3 seconds and key screen transitions ≤ 1 second on a reference low-end device (2 GB RAM, Android 10) on 3G.</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PER-008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search on transactions (indexed fields, last 90 days) ≤ 3 seconds; standard reports (one-month range) ≤ 60 seconds; archived data retrieval ≤ 24 hours.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PER-009</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EOD, reconciliation and batch jobs shall complete within the defined batch window (default ≤ 2 hours) without impacting online transaction latency beyond 10%.</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PER-010</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Bulk disbursement processing ≥ 1,000,000 records per hour, with batched ledger posting so that bulk runs do not degrade online latency targets.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PER-011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Performance testing (load, stress, 24-hour soak, spike) shall be executed before UAT sign-off, before National Rollout and before each Eid peak at 1.5–2× the expected peak, including a simulated data-centre failure, with results reported against these targets.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PER-012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Ledger and database capacity shall be sized for about 80 million wallets and 5 years of online data at design volume, plus an archival tier, with storage growth monitoring.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PER-013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Hot accounts (large merchants, billers, super-agents and system accounts) receiving thousands of postings per second shall not become a throughput bottleneck.</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PER-014</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General Ledger: ingestion lag p99 &lt; 5 s at peak ledger posting volume (≥ 20,000 ledger legs/s per instance); day close ≤ 5 minutes after readiness; GL reports p95 &lt; 2 s (≤ 400-day range); a GL outage shall never affect payments.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bl>
    <w:p>
      <w:pPr>
        <w:pStyle w:val="Normal"/>
        <w:spacing w:before="0" w:after="120"/>
        <w:rPr/>
      </w:pPr>
      <w:r>
        <w:rPr/>
      </w:r>
    </w:p>
    <w:p>
      <w:pPr>
        <w:pStyle w:val="Heading2"/>
        <w:rPr/>
      </w:pPr>
      <w:bookmarkStart w:id="84" w:name="__RefHeading___Toc13085_2869911984"/>
      <w:bookmarkEnd w:id="84"/>
      <w:r>
        <w:rPr/>
        <w:t>7.2 Availability, Resilience and Disaster Recovery (AVL)</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Core transaction services (customer app, USSD, partner app, API) shall achieve ≥ 99.99% monthly availability, excluding pre-approved planned maintenance; the service shall survive the loss of a server, a rack or a whole data centre.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Planned maintenance shall be performed with zero downtime for core transaction services wherever possible (rolling deployments); unavoidable downtime limited to ≤ 4 hours/month in a low-traffic window approved by the Operator, with advance customer notice.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 single point of failure in DC1 or DC2: all tiers (load balancers, gateways, application, ledger, database, message broker, cache, HSM, network) deployed in high-availability configuration.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Three-site topology in Bangladesh: primary DC1 and metro secondary DC2 (a few milliseconds apart), both serving live traffic, plus a DR site in another city, in a separate seismic/flood zone, as warm standby.</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RPO = 0 for financial data on loss of DC1 or DC2 (synchronous replication across the metro sites); RPO at the DR site per the agreed recovery targets (target ≤ a few seconds; TBC — Appendix B); RPO ≤ 15 minutes for non-financial data.</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Automatic failover between DC1 and DC2 with RTO ≤ 5 minutes for core transaction services; RTO ≤ 2 hours for full DR activation; automatic component failover within a site.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DC1–DC2 active-active; DR warm standby fed asynchronously unless RPO = 0 at DR is mandated (in which case the latency impact shall be benchmarked); documented failover and failback runbooks.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AVL-008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DR drills at least twice per year (and before Pilot go-live), including a full DR switchover, with reports to the Operator; failback tested.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AVL-009</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Automated backups: daily full, continuous transaction-log/point-in-time backup; encrypted; offsite/offline copy; restoration tested at least quarterly.</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AVL-010</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Graceful degradation: if a non-core dependency fails (e.g. a biller or partner bank), unrelated services shall continue; affected services show a clear message.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AVL-011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Health checks, auto-restart and auto-scaling of application components.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5" w:name="__RefHeading___Toc13087_2869911984"/>
      <w:bookmarkEnd w:id="85"/>
      <w:r>
        <w:rPr/>
        <w:t>7.3 Security (SEC)</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encryption at rest for all databases, file stores, backups and archives (AES-256 or equivalent); field-level encryption/tokenisation for NID numbers, biometric templates/images, PIN-related data and bank account numbers.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encryption in transit per COMM-001 to COMM-003.</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Key management through HSM with key hierarchy, dual control and split knowledge for master keys, key rotation policy and key ceremony documentation.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MFA for all back-office, portal and privileged users; privileged access through the Operator's PAM with session recording.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Role-based access control with least privilege and segregation of duties (see ADM-002).</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Secure SDLC: secure coding standard (OWASP), threat modelling for new features, peer code review, SAST, SCA (dependency vulnerability and licence scanning), DAST, container image scanning and secrets scanning integrated in CI/CD; no Critical/High findings open at release.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Mobile app security per OWASP MASVS L2: code obfuscation, anti-tampering, root/jailbreak detection, certificate pinning, secure storage, no sensitive data in logs (see DEV-008, DEV-010).</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Web application security per OWASP ASVS Level 2 (Level 3 for authentication and financial functions); protection against OWASP Top 10 and API Top 10.</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SEC-009</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WAF and DDoS protection in front of all internet-facing endpoints (Operator-provided or BRAC IT-provided).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SEC-010</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VAPT: independent VAPT before Pilot go-live, before National Rollout, annually, and after major releases; all Critical/High findings remediated before go-live and re-tested.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Hardening of OS, database, middleware and containers per CIS benchmarks; hardening evidence provided.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Patch management: critical security patches applied within 14 days (or per Operator policy), high within 30 days, with regression testing.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Secrets management: no credentials in code/config files; vault-based secret injection; rotation.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Network segmentation: DMZ, application, data and management zones; database not reachable from the internet; east-west traffic restricted.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Logging and monitoring: security events from all components forwarded to the Operator's SIEM in agreed format, including authentication, authorisation failures, admin actions, configuration changes, integrity alerts, WAF/API gateway events.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shall develop and hand over SIEM use cases/correlation rules for application-level threats (credential stuffing, account takeover, abnormal admin activity, fraud spikes) in cooperation with the Operator's SOC.</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masking in non-production environments: production personal data shall not be used in DEV/SIT; UAT may use masked/synthetic data unless the Operator approves otherwise.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Remote support access by BRAC IT only through Operator-controlled VPN + PAM with approval, session recording and time-bound access.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SEC-019</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shall notify the Operator of any security incident affecting the platform within 2 hours of detection (Critical) to enable the Operator's 72-hour reporting to BB and BGD e-GOV CIRT.</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SEC-020</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Software Bill of Materials (SBOM) for all releases, listing third-party components and versions.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6" w:name="__RefHeading___Toc13089_2869911984"/>
      <w:bookmarkEnd w:id="86"/>
      <w:r>
        <w:rPr/>
        <w:t>7.4 Compliance with Bangladesh Bank Cybersecurity Framework v1.0 (2026) (CSF)</w:t>
      </w:r>
    </w:p>
    <w:tbl>
      <w:tblPr>
        <w:tblW w:w="9746" w:type="dxa"/>
        <w:jc w:val="left"/>
        <w:tblInd w:w="0" w:type="dxa"/>
        <w:tblLayout w:type="fixed"/>
        <w:tblCellMar>
          <w:top w:w="50" w:type="dxa"/>
          <w:left w:w="90" w:type="dxa"/>
          <w:bottom w:w="50" w:type="dxa"/>
          <w:right w:w="90" w:type="dxa"/>
        </w:tblCellMar>
      </w:tblPr>
      <w:tblGrid>
        <w:gridCol w:w="950"/>
        <w:gridCol w:w="1300"/>
        <w:gridCol w:w="6296"/>
        <w:gridCol w:w="559"/>
        <w:gridCol w:w="641"/>
      </w:tblGrid>
      <w:tr>
        <w:trPr>
          <w:tblHeader w:val="true"/>
        </w:trPr>
        <w:tc>
          <w:tcPr>
            <w:tcW w:w="95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13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Function</w:t>
            </w:r>
          </w:p>
        </w:tc>
        <w:tc>
          <w:tcPr>
            <w:tcW w:w="62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CSF-001</w:t>
            </w:r>
          </w:p>
        </w:tc>
        <w:tc>
          <w:tcPr>
            <w:tcW w:w="13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Prepare / Govern</w:t>
            </w:r>
          </w:p>
        </w:tc>
        <w:tc>
          <w:tcPr>
            <w:tcW w:w="62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shall provide platform security policies, procedures, RACI and a risk register for the platform, and support the Operator's CISO function with reports and evidence.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CSF-002</w:t>
            </w:r>
          </w:p>
        </w:tc>
        <w:tc>
          <w:tcPr>
            <w:tcW w:w="1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Identify</w:t>
            </w:r>
          </w:p>
        </w:tc>
        <w:tc>
          <w:tcPr>
            <w:tcW w:w="62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platform shall maintain an asset inventory (software components, versions, servers, integrations, certificates) and support periodic risk and vulnerability assessment.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CSF-003</w:t>
            </w:r>
          </w:p>
        </w:tc>
        <w:tc>
          <w:tcPr>
            <w:tcW w:w="13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Protect</w:t>
            </w:r>
          </w:p>
        </w:tc>
        <w:tc>
          <w:tcPr>
            <w:tcW w:w="62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Encryption at rest/in transit, MFA, WAF, RBAC, secure coding practices as per SEC requirements.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CSF-004</w:t>
            </w:r>
          </w:p>
        </w:tc>
        <w:tc>
          <w:tcPr>
            <w:tcW w:w="1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Detect</w:t>
            </w:r>
          </w:p>
        </w:tc>
        <w:tc>
          <w:tcPr>
            <w:tcW w:w="62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Continuous monitoring with SIEM/SOC integration for real-time threat detection (SEC-015, SEC-016); application-level anomaly alerts.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CSF-005</w:t>
            </w:r>
          </w:p>
        </w:tc>
        <w:tc>
          <w:tcPr>
            <w:tcW w:w="13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Respond</w:t>
            </w:r>
          </w:p>
        </w:tc>
        <w:tc>
          <w:tcPr>
            <w:tcW w:w="62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Documented incident response procedures and playbooks; ability to produce the data needed for critical incident reporting to BB and BGD e-GOV CIRT within 72 hours of detection.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CSF-006</w:t>
            </w:r>
          </w:p>
        </w:tc>
        <w:tc>
          <w:tcPr>
            <w:tcW w:w="1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Recover</w:t>
            </w:r>
          </w:p>
        </w:tc>
        <w:tc>
          <w:tcPr>
            <w:tcW w:w="62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Business continuity, backup and DR capability meeting AVL-005/AVL-006 and SLA RTO/RPO.</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CSF-007</w:t>
            </w:r>
          </w:p>
        </w:tc>
        <w:tc>
          <w:tcPr>
            <w:tcW w:w="13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Report</w:t>
            </w:r>
          </w:p>
        </w:tc>
        <w:tc>
          <w:tcPr>
            <w:tcW w:w="62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Structured security and compliance reports to support the Operator's regulatory obligations (incident reports, VAPT status, patch compliance, access reviews).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CSF-008</w:t>
            </w:r>
          </w:p>
        </w:tc>
        <w:tc>
          <w:tcPr>
            <w:tcW w:w="1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w:t>
            </w:r>
          </w:p>
        </w:tc>
        <w:tc>
          <w:tcPr>
            <w:tcW w:w="62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shall deliver a compliance statement mapping each framework control relevant to the platform and to BRAC IT's delivery/support environment, with a gap-closure roadmap for any control not met by go-live.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7" w:name="__RefHeading___Toc13091_2869911984"/>
      <w:bookmarkEnd w:id="87"/>
      <w:r>
        <w:rPr/>
        <w:t>7.5 Privacy and Data Protection (PRV)</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PRV-001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Personal data processed only for specified purposes disclosed in the privacy notice; data minimisation applied to all forms and integrations.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PRV-002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Consent management: capture, version, view and withdraw consents (marketing, data sharing with named partners, location).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PRV-003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residency in Bangladesh for all production and backup data (Constraint C-03).</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PRV-004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right to access own data (statements, profile) and to request correction through support workflows.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PRV-005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sharing with third parties (banks, billers, remittance partners, institutional disbursers, regulators) governed by a data-sharing matrix (fields, purpose, legal basis) enforced in integration contracts.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PRV-006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Personal data in logs masked (e.g. NID last 4 digits, mobile number partially masked).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PRV-007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Compliance with the personal data protection law of Bangladesh in force at go-live; BRAC IT shall support a Data Protection Impact Assessment (DPIA).</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8" w:name="__RefHeading___Toc13093_2869911984"/>
      <w:bookmarkEnd w:id="88"/>
      <w:r>
        <w:rPr/>
        <w:t>7.6 Usability, Accessibility and Localisation (USA)</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first-time low-literacy user shall be able to complete Send Money and Cash Out unaided after a single assisted demonstration; target task success ≥ 85% in usability tests.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USA-002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Core customer journeys (send money, cash-out, merchant payment, pay bill) shall require no more than 5 screens from home to confirmation.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Full Bangla Unicode support across all components (storage, search, reports, SMS, PDF statements).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USA-004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Date format DD/MM/YYYY; Bangladesh time (UTC+6) displayed; Bangla calendar optional in statements.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In-app content readable at grade-5 Bangla literacy level; voice prompts for key steps.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9" w:name="__RefHeading___Toc13095_2869911984"/>
      <w:bookmarkEnd w:id="89"/>
      <w:r>
        <w:rPr/>
        <w:t>7.7 Maintainability, Supportability and Operations (MNT)</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Modular, microservices or modular-monolith architecture with clear service boundaries and documented APIs.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CI/CD pipelines with automated build, test, security scan and deployment; infrastructure as code for repeatable environments.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Observability: centralised logs, metrics and distributed tracing with correlation IDs; dashboards and alerting for business KPIs (TPS, success rate, failure by reason) and technical KPIs.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Configuration changes (limits, fees, rules, templates) take effect without restart or redeployment.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Technology currency: all components on vendor-supported, non-EOL versions throughout the support period; upgrade roadmap maintained and upgrades applied through a controlled, tested cycle approved by the Product Owner.</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Automated regression test suite (API and UI) maintained and handed over, with ≥ 70% coverage of critical business services.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Operations runbooks for EOD, reconciliation, DR, incident handling, certificate renewal, key rotation and common support tasks.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SLA by severity (to be finalised in the SLA; proposed baseline below).</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Normal"/>
        <w:spacing w:before="0" w:after="120"/>
        <w:rPr/>
      </w:pPr>
      <w:r>
        <w:rPr>
          <w:b/>
          <w:bCs/>
        </w:rPr>
        <w:t>Proposed support severity matrix (baseline for SLA)</w:t>
      </w:r>
    </w:p>
    <w:tbl>
      <w:tblPr>
        <w:tblW w:w="9746" w:type="dxa"/>
        <w:jc w:val="left"/>
        <w:tblInd w:w="0" w:type="dxa"/>
        <w:tblLayout w:type="fixed"/>
        <w:tblCellMar>
          <w:top w:w="50" w:type="dxa"/>
          <w:left w:w="90" w:type="dxa"/>
          <w:bottom w:w="50" w:type="dxa"/>
          <w:right w:w="90" w:type="dxa"/>
        </w:tblCellMar>
      </w:tblPr>
      <w:tblGrid>
        <w:gridCol w:w="878"/>
        <w:gridCol w:w="4667"/>
        <w:gridCol w:w="877"/>
        <w:gridCol w:w="1318"/>
        <w:gridCol w:w="1207"/>
        <w:gridCol w:w="798"/>
      </w:tblGrid>
      <w:tr>
        <w:trPr>
          <w:tblHeader w:val="true"/>
        </w:trPr>
        <w:tc>
          <w:tcPr>
            <w:tcW w:w="87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Severity</w:t>
            </w:r>
          </w:p>
        </w:tc>
        <w:tc>
          <w:tcPr>
            <w:tcW w:w="466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Definition</w:t>
            </w:r>
          </w:p>
        </w:tc>
        <w:tc>
          <w:tcPr>
            <w:tcW w:w="87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Response</w:t>
            </w:r>
          </w:p>
        </w:tc>
        <w:tc>
          <w:tcPr>
            <w:tcW w:w="131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Workaround / Restoration</w:t>
            </w:r>
          </w:p>
        </w:tc>
        <w:tc>
          <w:tcPr>
            <w:tcW w:w="120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Resolution</w:t>
            </w:r>
          </w:p>
        </w:tc>
        <w:tc>
          <w:tcPr>
            <w:tcW w:w="7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Coverage</w:t>
            </w:r>
          </w:p>
        </w:tc>
      </w:tr>
      <w:tr>
        <w:trPr>
          <w:cantSplit w:val="true"/>
        </w:trPr>
        <w:tc>
          <w:tcPr>
            <w:tcW w:w="87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Sev 1 — Critical</w:t>
            </w:r>
          </w:p>
        </w:tc>
        <w:tc>
          <w:tcPr>
            <w:tcW w:w="4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Core transaction service down or major degradation; data integrity or security breach</w:t>
            </w:r>
          </w:p>
        </w:tc>
        <w:tc>
          <w:tcPr>
            <w:tcW w:w="8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15 minutes</w:t>
            </w:r>
          </w:p>
        </w:tc>
        <w:tc>
          <w:tcPr>
            <w:tcW w:w="131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 hours</w:t>
            </w:r>
          </w:p>
        </w:tc>
        <w:tc>
          <w:tcPr>
            <w:tcW w:w="12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24 hours</w:t>
            </w:r>
          </w:p>
        </w:tc>
        <w:tc>
          <w:tcPr>
            <w:tcW w:w="7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24×7</w:t>
            </w:r>
          </w:p>
        </w:tc>
      </w:tr>
      <w:tr>
        <w:trPr>
          <w:cantSplit w:val="true"/>
        </w:trPr>
        <w:tc>
          <w:tcPr>
            <w:tcW w:w="87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Sev 2 — High</w:t>
            </w:r>
          </w:p>
        </w:tc>
        <w:tc>
          <w:tcPr>
            <w:tcW w:w="4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Major function unavailable for a segment (e.g. a biller, a channel); no workaround</w:t>
            </w:r>
          </w:p>
        </w:tc>
        <w:tc>
          <w:tcPr>
            <w:tcW w:w="8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30 minutes</w:t>
            </w:r>
          </w:p>
        </w:tc>
        <w:tc>
          <w:tcPr>
            <w:tcW w:w="131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 hours</w:t>
            </w:r>
          </w:p>
        </w:tc>
        <w:tc>
          <w:tcPr>
            <w:tcW w:w="12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3 days</w:t>
            </w:r>
          </w:p>
        </w:tc>
        <w:tc>
          <w:tcPr>
            <w:tcW w:w="7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24×7</w:t>
            </w:r>
          </w:p>
        </w:tc>
      </w:tr>
      <w:tr>
        <w:trPr>
          <w:cantSplit w:val="true"/>
        </w:trPr>
        <w:tc>
          <w:tcPr>
            <w:tcW w:w="87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Sev 3 — Medium</w:t>
            </w:r>
          </w:p>
        </w:tc>
        <w:tc>
          <w:tcPr>
            <w:tcW w:w="4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Function impaired with workaround; non-critical report failure</w:t>
            </w:r>
          </w:p>
        </w:tc>
        <w:tc>
          <w:tcPr>
            <w:tcW w:w="8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 business hours</w:t>
            </w:r>
          </w:p>
        </w:tc>
        <w:tc>
          <w:tcPr>
            <w:tcW w:w="131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 business days</w:t>
            </w:r>
          </w:p>
        </w:tc>
        <w:tc>
          <w:tcPr>
            <w:tcW w:w="12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10 business days</w:t>
            </w:r>
          </w:p>
        </w:tc>
        <w:tc>
          <w:tcPr>
            <w:tcW w:w="7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Business hours</w:t>
            </w:r>
          </w:p>
        </w:tc>
      </w:tr>
      <w:tr>
        <w:trPr>
          <w:cantSplit w:val="true"/>
        </w:trPr>
        <w:tc>
          <w:tcPr>
            <w:tcW w:w="87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Sev 4 — Low</w:t>
            </w:r>
          </w:p>
        </w:tc>
        <w:tc>
          <w:tcPr>
            <w:tcW w:w="4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Cosmetic issue, query, minor enhancement</w:t>
            </w:r>
          </w:p>
        </w:tc>
        <w:tc>
          <w:tcPr>
            <w:tcW w:w="8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business day</w:t>
            </w:r>
          </w:p>
        </w:tc>
        <w:tc>
          <w:tcPr>
            <w:tcW w:w="131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t>
            </w:r>
          </w:p>
        </w:tc>
        <w:tc>
          <w:tcPr>
            <w:tcW w:w="12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Next scheduled release</w:t>
            </w:r>
          </w:p>
        </w:tc>
        <w:tc>
          <w:tcPr>
            <w:tcW w:w="7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Business hours</w:t>
            </w:r>
          </w:p>
        </w:tc>
      </w:tr>
    </w:tbl>
    <w:p>
      <w:pPr>
        <w:pStyle w:val="Normal"/>
        <w:spacing w:before="0" w:after="120"/>
        <w:rPr/>
      </w:pPr>
      <w:r>
        <w:rPr/>
      </w:r>
    </w:p>
    <w:p>
      <w:pPr>
        <w:pStyle w:val="Heading2"/>
        <w:rPr/>
      </w:pPr>
      <w:bookmarkStart w:id="90" w:name="__RefHeading___Toc13097_2869911984"/>
      <w:bookmarkEnd w:id="90"/>
      <w:r>
        <w:rPr/>
        <w:t>7.8 Portability, Interoperability and AI Readiness (POR)</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platform shall be deployable on-premise or on a Bangladesh Bank-compliant cloud using containers, without code change.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POR-002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Open standards for interoperability: REST/JSON, OpenAPI, ISO 20022/ISO 8583 adaptors, Bangla QR (EMVCo-based) standard.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AI compatibility: structured, documented data models and APIs/feeds to support future AI/ML tools for analysis, reporting, fraud/risk and customer insights without core redesign.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POR-004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Any AI/NLQ capability shall run in-country, respect RBAC and masking, and log queries for audit.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Full data export of Operator-owned data in open formats (CSV/JSON/SQL dump) with data dictionary, to support contract exit and transition.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91" w:name="__RefHeading___Toc13099_2869911984"/>
      <w:bookmarkEnd w:id="91"/>
      <w:r>
        <w:rPr/>
        <w:t>7.9 Reliability and Data Integrity (REL)</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Zero tolerance for financial discrepancies caused by the platform: every transaction either completes fully or has no financial effect (atomicity).</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Daily automated integrity checks: ledger balance = sum of postings; general-ledger trial balance zero-sum and GL ledger-control checks at every day close (GLD-015); e-money equals trust balance (EMY-004); each GL day certified by reconciliation (REC-012).</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Transaction success rate (excluding customer errors and counterparty failures) ≥ 99.9%.</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Time synchronisation of all servers to authoritative NTP sources within ±100 ms.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92" w:name="__RefHeading___Toc13101_2869911984"/>
      <w:bookmarkEnd w:id="92"/>
      <w:r>
        <w:rPr/>
        <w:t>7.10 Quality Assurance and Testing (QA)</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QA-001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Test strategy covering unit, integration, SIT, end-to-end, regression, performance, security (VAPT), DR, usability, and UAT support.</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QA-002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Every requirement in this SRS shall be traced to at least one test case; traceability report delivered at UAT.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QA-003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Exit criteria for UAT: 100% of Must requirements for the release passed; zero open Critical/High defects; Medium defects with agreed plan.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QA-004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certification with each counterparty (NPSB, Binimoy, Bangla QR, ekPay, banks, e-KYC) completed before Pilot for R1 integrations and before R2 go-live for R2 integrations.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Normal"/>
        <w:rPr/>
      </w:pPr>
      <w:r>
        <w:rPr/>
      </w:r>
      <w:r>
        <w:br w:type="page"/>
      </w:r>
    </w:p>
    <w:p>
      <w:pPr>
        <w:pStyle w:val="Heading1"/>
        <w:spacing w:before="0" w:after="160"/>
        <w:rPr/>
      </w:pPr>
      <w:bookmarkStart w:id="93" w:name="__RefHeading___Toc13103_2869911984"/>
      <w:bookmarkEnd w:id="93"/>
      <w:r>
        <w:rPr/>
        <w:t>8. Data Requirements</w:t>
      </w:r>
    </w:p>
    <w:p>
      <w:pPr>
        <w:pStyle w:val="Heading2"/>
        <w:rPr/>
      </w:pPr>
      <w:bookmarkStart w:id="94" w:name="__RefHeading___Toc13105_2869911984"/>
      <w:bookmarkEnd w:id="94"/>
      <w:r>
        <w:rPr/>
        <w:t>8.1 Key Data Entities</w:t>
      </w:r>
    </w:p>
    <w:tbl>
      <w:tblPr>
        <w:tblW w:w="9746" w:type="dxa"/>
        <w:jc w:val="left"/>
        <w:tblInd w:w="0" w:type="dxa"/>
        <w:tblLayout w:type="fixed"/>
        <w:tblCellMar>
          <w:top w:w="50" w:type="dxa"/>
          <w:left w:w="90" w:type="dxa"/>
          <w:bottom w:w="50" w:type="dxa"/>
          <w:right w:w="90" w:type="dxa"/>
        </w:tblCellMar>
      </w:tblPr>
      <w:tblGrid>
        <w:gridCol w:w="1310"/>
        <w:gridCol w:w="1793"/>
        <w:gridCol w:w="1398"/>
        <w:gridCol w:w="5244"/>
      </w:tblGrid>
      <w:tr>
        <w:trPr>
          <w:tblHeader w:val="true"/>
        </w:trPr>
        <w:tc>
          <w:tcPr>
            <w:tcW w:w="131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Entity</w:t>
            </w:r>
          </w:p>
        </w:tc>
        <w:tc>
          <w:tcPr>
            <w:tcW w:w="1793"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c>
          <w:tcPr>
            <w:tcW w:w="1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System of record</w:t>
            </w:r>
          </w:p>
        </w:tc>
        <w:tc>
          <w:tcPr>
            <w:tcW w:w="524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Key attributes (indicative)</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Natural person holding a wallet</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ID, name (BN/EN), NID (encrypted), DOB, gender, mobile, address, occupation, income band, risk grade, KYC tier, status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KYC Record</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Verification evidence</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NID images, selfie, EC response, face-match score, screening result, consent records, reviewer, timestamps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merchant, distributor, institution</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ID, type, category, legal entity data, key persons, territory, hierarchy parent, bank accounts, risk grade, status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 Account</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E-money account</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ID, owner, type, currency, status, balances (ledger, available, held), tier, limits profile</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Ledger Posting</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Double-entry posting line</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Posting ID, transaction ID, account, debit/credit, amount, value date, timestamp</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Account</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Chart-of-accounts entry</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Code, parent, level, name, class, normal side, contra, postable, ledger-controlled, must-be-zero, status, version</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Posting Rule Set</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Versioned mapping of ledger legs to GL accounts</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Version, effective from, status, rules (match keys, target account, priority), approver</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Journal / Journal Line</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Balanced accounting entry</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Journal ref, source (ledger day, manual, accrual, reversal, opening, year-end), business date, revision, status, lines (account, debit/credit, amount, product, value date)</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Accounting Period / GL Day</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Fiscal year, month and business day</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Period ID, status (open/closed), day status, revision, checks, certification status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Daily Balance &amp; Control Totals</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Per-account closing balances and per-bucket ledger control totals</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Business date, revision, account, opening, debit/credit movement, closing; bucket debits/credits posted</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ERP Export File</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Daily GL journal file for the ERP</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Business date, version, format, line count, totals, SHA-256, status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Transaction</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Business transaction</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Transaction ID, type, channel, initiator, counterparty, amount, fee, VAT, commission, status, external refs, device, location</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Bulk Disbursement Batch</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Salary / G2P / institutional payout batch</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Batch ID, payer, file hash, row count, row status, approver, totals paid/failed</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 / Commission / Limit Plans</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Configuration</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Plan ID, rules, effective dates, version, approver</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Device &amp; Session</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Security data</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Device ID, binding key, OS, app version, session tokens (hashed), status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Case</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Fraud/AML/dispute/complaint</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Case ID, type, linked entities, status, assignee, notes, decision, SLA</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Notification</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Message log</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Template, channel, recipient, content hash, status, DLR</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Reconciliation</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Matching results</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Source, batch, match status, exceptions, resolution</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Event</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trail</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See AUD-002</w:t>
            </w:r>
          </w:p>
        </w:tc>
      </w:tr>
    </w:tbl>
    <w:p>
      <w:pPr>
        <w:pStyle w:val="Normal"/>
        <w:spacing w:before="0" w:after="120"/>
        <w:rPr/>
      </w:pPr>
      <w:r>
        <w:rPr/>
      </w:r>
    </w:p>
    <w:p>
      <w:pPr>
        <w:pStyle w:val="Heading2"/>
        <w:rPr/>
      </w:pPr>
      <w:bookmarkStart w:id="95" w:name="__RefHeading___Toc13107_2869911984"/>
      <w:bookmarkEnd w:id="95"/>
      <w:r>
        <w:rPr/>
        <w:t>8.2 Data Classification</w:t>
      </w:r>
    </w:p>
    <w:tbl>
      <w:tblPr>
        <w:tblW w:w="9746" w:type="dxa"/>
        <w:jc w:val="left"/>
        <w:tblInd w:w="0" w:type="dxa"/>
        <w:tblLayout w:type="fixed"/>
        <w:tblCellMar>
          <w:top w:w="50" w:type="dxa"/>
          <w:left w:w="90" w:type="dxa"/>
          <w:bottom w:w="50" w:type="dxa"/>
          <w:right w:w="90" w:type="dxa"/>
        </w:tblCellMar>
      </w:tblPr>
      <w:tblGrid>
        <w:gridCol w:w="792"/>
        <w:gridCol w:w="5348"/>
        <w:gridCol w:w="3606"/>
      </w:tblGrid>
      <w:tr>
        <w:trPr>
          <w:tblHeader w:val="true"/>
        </w:trPr>
        <w:tc>
          <w:tcPr>
            <w:tcW w:w="792"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Class</w:t>
            </w:r>
          </w:p>
        </w:tc>
        <w:tc>
          <w:tcPr>
            <w:tcW w:w="534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Examples</w:t>
            </w:r>
          </w:p>
        </w:tc>
        <w:tc>
          <w:tcPr>
            <w:tcW w:w="360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Controls</w:t>
            </w:r>
          </w:p>
        </w:tc>
      </w:tr>
      <w:tr>
        <w:trPr>
          <w:cantSplit w:val="true"/>
        </w:trPr>
        <w:tc>
          <w:tcPr>
            <w:tcW w:w="79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Restricted</w:t>
            </w:r>
          </w:p>
        </w:tc>
        <w:tc>
          <w:tcPr>
            <w:tcW w:w="534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PIN data, cryptographic keys, biometric data/images, full NID, authentication secrets</w:t>
            </w:r>
          </w:p>
        </w:tc>
        <w:tc>
          <w:tcPr>
            <w:tcW w:w="36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HSM/field encryption, no display, strict access, never in logs</w:t>
            </w:r>
          </w:p>
        </w:tc>
      </w:tr>
      <w:tr>
        <w:trPr>
          <w:cantSplit w:val="true"/>
        </w:trPr>
        <w:tc>
          <w:tcPr>
            <w:tcW w:w="79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Confidential</w:t>
            </w:r>
          </w:p>
        </w:tc>
        <w:tc>
          <w:tcPr>
            <w:tcW w:w="534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profile, transactions, balances, bank account numbers, partner contracts, AML cases</w:t>
            </w:r>
          </w:p>
        </w:tc>
        <w:tc>
          <w:tcPr>
            <w:tcW w:w="36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Encryption at rest, RBAC, masking by role, audited access</w:t>
            </w:r>
          </w:p>
        </w:tc>
      </w:tr>
      <w:tr>
        <w:trPr>
          <w:cantSplit w:val="true"/>
        </w:trPr>
        <w:tc>
          <w:tcPr>
            <w:tcW w:w="79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Internal</w:t>
            </w:r>
          </w:p>
        </w:tc>
        <w:tc>
          <w:tcPr>
            <w:tcW w:w="534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Configuration, aggregated reports, operational metrics</w:t>
            </w:r>
          </w:p>
        </w:tc>
        <w:tc>
          <w:tcPr>
            <w:tcW w:w="36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RBAC, internal only</w:t>
            </w:r>
          </w:p>
        </w:tc>
      </w:tr>
      <w:tr>
        <w:trPr>
          <w:cantSplit w:val="true"/>
        </w:trPr>
        <w:tc>
          <w:tcPr>
            <w:tcW w:w="79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Public</w:t>
            </w:r>
          </w:p>
        </w:tc>
        <w:tc>
          <w:tcPr>
            <w:tcW w:w="534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Published fees, FAQs, merchant names</w:t>
            </w:r>
          </w:p>
        </w:tc>
        <w:tc>
          <w:tcPr>
            <w:tcW w:w="36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Approved publication</w:t>
            </w:r>
          </w:p>
        </w:tc>
      </w:tr>
    </w:tbl>
    <w:p>
      <w:pPr>
        <w:pStyle w:val="Normal"/>
        <w:spacing w:before="0" w:after="120"/>
        <w:rPr/>
      </w:pPr>
      <w:r>
        <w:rPr/>
      </w:r>
    </w:p>
    <w:p>
      <w:pPr>
        <w:pStyle w:val="Heading2"/>
        <w:rPr/>
      </w:pPr>
      <w:bookmarkStart w:id="96" w:name="__RefHeading___Toc13109_2869911984"/>
      <w:bookmarkEnd w:id="96"/>
      <w:r>
        <w:rPr/>
        <w:t>8.3 Retention Defaults (configurable, subject to Operator confirmation)</w:t>
      </w:r>
    </w:p>
    <w:tbl>
      <w:tblPr>
        <w:tblW w:w="9746" w:type="dxa"/>
        <w:jc w:val="left"/>
        <w:tblInd w:w="0" w:type="dxa"/>
        <w:tblLayout w:type="fixed"/>
        <w:tblCellMar>
          <w:top w:w="50" w:type="dxa"/>
          <w:left w:w="90" w:type="dxa"/>
          <w:bottom w:w="50" w:type="dxa"/>
          <w:right w:w="90" w:type="dxa"/>
        </w:tblCellMar>
      </w:tblPr>
      <w:tblGrid>
        <w:gridCol w:w="3696"/>
        <w:gridCol w:w="1680"/>
        <w:gridCol w:w="4370"/>
      </w:tblGrid>
      <w:tr>
        <w:trPr>
          <w:tblHeader w:val="true"/>
        </w:trPr>
        <w:tc>
          <w:tcPr>
            <w:tcW w:w="36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Data category</w:t>
            </w:r>
          </w:p>
        </w:tc>
        <w:tc>
          <w:tcPr>
            <w:tcW w:w="168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Online (active)</w:t>
            </w:r>
          </w:p>
        </w:tc>
        <w:tc>
          <w:tcPr>
            <w:tcW w:w="437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Total retention (incl. archive)</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Financial transactions &amp; postings</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24 months</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Minimum 5 years after transaction (default 10 years)</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&amp; KYC records</w:t>
            </w:r>
          </w:p>
        </w:tc>
        <w:tc>
          <w:tcPr>
            <w:tcW w:w="168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Life of relationship</w:t>
            </w:r>
          </w:p>
        </w:tc>
        <w:tc>
          <w:tcPr>
            <w:tcW w:w="43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Minimum 5 years after account closure</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(agent/merchant/distributor) records</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Life of relationship</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Minimum 5 years after termination</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 cases, STR/CTR records</w:t>
            </w:r>
          </w:p>
        </w:tc>
        <w:tc>
          <w:tcPr>
            <w:tcW w:w="168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24 months</w:t>
            </w:r>
          </w:p>
        </w:tc>
        <w:tc>
          <w:tcPr>
            <w:tcW w:w="43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Minimum 5 years after case closure / report</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trail</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12 months</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Minimum 5 years (default 10 years)</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Notification logs</w:t>
            </w:r>
          </w:p>
        </w:tc>
        <w:tc>
          <w:tcPr>
            <w:tcW w:w="168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6 months</w:t>
            </w:r>
          </w:p>
        </w:tc>
        <w:tc>
          <w:tcPr>
            <w:tcW w:w="43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5 years</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and application logs</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90 days</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year (security-relevant logs 5 years via SIEM)</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Reconciliation data</w:t>
            </w:r>
          </w:p>
        </w:tc>
        <w:tc>
          <w:tcPr>
            <w:tcW w:w="168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12 months</w:t>
            </w:r>
          </w:p>
        </w:tc>
        <w:tc>
          <w:tcPr>
            <w:tcW w:w="43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10 years</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Complaints &amp; disputes</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12 months</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5 years after closure</w:t>
            </w:r>
          </w:p>
        </w:tc>
      </w:tr>
    </w:tbl>
    <w:p>
      <w:pPr>
        <w:pStyle w:val="Normal"/>
        <w:spacing w:before="0" w:after="120"/>
        <w:rPr/>
      </w:pPr>
      <w:r>
        <w:rPr/>
      </w:r>
    </w:p>
    <w:p>
      <w:pPr>
        <w:pStyle w:val="Heading2"/>
        <w:rPr/>
      </w:pPr>
      <w:bookmarkStart w:id="97" w:name="__RefHeading___Toc13111_2869911984"/>
      <w:bookmarkEnd w:id="97"/>
      <w:r>
        <w:rPr/>
        <w:t>8.4 Data Quality and Ownership</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Operator data is owned by the Operator (C-10); BRAC IT shall not use it for any other purpose.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Validation rules at capture (format, mandatory, cross-field, Bangla/English consistency) to ensure data quality.</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data dictionary covering all tables, fields, codes and integrations shall be maintained and delivered.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Reference data (geography, banks, billers, MCCs, purpose codes) maintained centrally with versioning.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Reference data synchronisation with external sources (bank routing lists, biller catalogue, MCC lists, geography) with delta updates and conflict reporting.</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Normal"/>
        <w:rPr/>
      </w:pPr>
      <w:r>
        <w:rPr/>
      </w:r>
      <w:r>
        <w:br w:type="page"/>
      </w:r>
    </w:p>
    <w:p>
      <w:pPr>
        <w:pStyle w:val="Heading1"/>
        <w:spacing w:before="0" w:after="160"/>
        <w:rPr/>
      </w:pPr>
      <w:bookmarkStart w:id="98" w:name="__RefHeading___Toc13113_2869911984"/>
      <w:bookmarkEnd w:id="98"/>
      <w:r>
        <w:rPr/>
        <w:t>9. Transition Requirements</w:t>
      </w:r>
    </w:p>
    <w:p>
      <w:pPr>
        <w:pStyle w:val="Heading2"/>
        <w:rPr/>
      </w:pPr>
      <w:bookmarkStart w:id="99" w:name="__RefHeading___Toc13115_2869911984"/>
      <w:bookmarkEnd w:id="99"/>
      <w:r>
        <w:rPr/>
        <w:t>9.1 Environments</w:t>
      </w:r>
    </w:p>
    <w:tbl>
      <w:tblPr>
        <w:tblW w:w="9746" w:type="dxa"/>
        <w:jc w:val="left"/>
        <w:tblInd w:w="0" w:type="dxa"/>
        <w:tblLayout w:type="fixed"/>
        <w:tblCellMar>
          <w:top w:w="50" w:type="dxa"/>
          <w:left w:w="90" w:type="dxa"/>
          <w:bottom w:w="50" w:type="dxa"/>
          <w:right w:w="90" w:type="dxa"/>
        </w:tblCellMar>
      </w:tblPr>
      <w:tblGrid>
        <w:gridCol w:w="1706"/>
        <w:gridCol w:w="4340"/>
        <w:gridCol w:w="1564"/>
        <w:gridCol w:w="2135"/>
      </w:tblGrid>
      <w:tr>
        <w:trPr>
          <w:tblHeader w:val="true"/>
        </w:trPr>
        <w:tc>
          <w:tcPr>
            <w:tcW w:w="170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Environment</w:t>
            </w:r>
          </w:p>
        </w:tc>
        <w:tc>
          <w:tcPr>
            <w:tcW w:w="43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Purpose</w:t>
            </w:r>
          </w:p>
        </w:tc>
        <w:tc>
          <w:tcPr>
            <w:tcW w:w="156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Hosted by</w:t>
            </w:r>
          </w:p>
        </w:tc>
        <w:tc>
          <w:tcPr>
            <w:tcW w:w="213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Data</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w:t>
            </w:r>
          </w:p>
        </w:tc>
        <w:tc>
          <w:tcPr>
            <w:tcW w:w="43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development</w:t>
            </w:r>
          </w:p>
        </w:tc>
        <w:tc>
          <w:tcPr>
            <w:tcW w:w="15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w:t>
            </w:r>
          </w:p>
        </w:tc>
        <w:tc>
          <w:tcPr>
            <w:tcW w:w="213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Synthetic</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SIT</w:t>
            </w:r>
          </w:p>
        </w:tc>
        <w:tc>
          <w:tcPr>
            <w:tcW w:w="43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System and integration testing with counterparty test systems</w:t>
            </w:r>
          </w:p>
        </w:tc>
        <w:tc>
          <w:tcPr>
            <w:tcW w:w="15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(BRAC IT-managed)</w:t>
            </w:r>
          </w:p>
        </w:tc>
        <w:tc>
          <w:tcPr>
            <w:tcW w:w="213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Synthetic / masked</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UAT</w:t>
            </w:r>
          </w:p>
        </w:tc>
        <w:tc>
          <w:tcPr>
            <w:tcW w:w="43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acceptance testing</w:t>
            </w:r>
          </w:p>
        </w:tc>
        <w:tc>
          <w:tcPr>
            <w:tcW w:w="15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Masked / synthetic</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Pre-Production / Staging</w:t>
            </w:r>
          </w:p>
        </w:tc>
        <w:tc>
          <w:tcPr>
            <w:tcW w:w="43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Release rehearsal, performance testing, VAPT</w:t>
            </w:r>
          </w:p>
        </w:tc>
        <w:tc>
          <w:tcPr>
            <w:tcW w:w="15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Masked, production-like volume</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Production (DC1 / DC2)</w:t>
            </w:r>
          </w:p>
        </w:tc>
        <w:tc>
          <w:tcPr>
            <w:tcW w:w="43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Live service</w:t>
            </w:r>
          </w:p>
        </w:tc>
        <w:tc>
          <w:tcPr>
            <w:tcW w:w="15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Live</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DR</w:t>
            </w:r>
          </w:p>
        </w:tc>
        <w:tc>
          <w:tcPr>
            <w:tcW w:w="43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Disaster recovery</w:t>
            </w:r>
          </w:p>
        </w:tc>
        <w:tc>
          <w:tcPr>
            <w:tcW w:w="15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Replicated live</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Training</w:t>
            </w:r>
          </w:p>
        </w:tc>
        <w:tc>
          <w:tcPr>
            <w:tcW w:w="43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End-user and staff training</w:t>
            </w:r>
          </w:p>
        </w:tc>
        <w:tc>
          <w:tcPr>
            <w:tcW w:w="15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Synthetic</w:t>
            </w:r>
          </w:p>
        </w:tc>
      </w:tr>
    </w:tbl>
    <w:p>
      <w:pPr>
        <w:pStyle w:val="Normal"/>
        <w:spacing w:before="0" w:after="120"/>
        <w:rPr/>
      </w:pPr>
      <w:r>
        <w:rPr/>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TRN-001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shall provide infrastructure sizing and Bill of Materials for each environment at least 8 weeks before it is required.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TRN-002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Environments shall be built by infrastructure-as-code and kept configuration-consistent with production.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100" w:name="__RefHeading___Toc13117_2869911984"/>
      <w:bookmarkEnd w:id="100"/>
      <w:r>
        <w:rPr/>
        <w:t>9.2 Data Load and Pre-Registration</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MIG-001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 migration of legacy wallet balances is assumed. If the Operator migrates an existing wallet base, migration shall be handled by CR.</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MIG-002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Load of reference data: geography, banks and routing numbers, billers, MCCs, purpose codes.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MIG-003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Bulk pre-registration of customers supplied by institutional partners (see ONB-020), with reconciliation report (records received, loaded, rejected with reason).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MIG-004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Initial load of agents/merchants for pilot from Operator-provided lists, subject to onboarding verification.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101" w:name="__RefHeading___Toc13119_2869911984"/>
      <w:bookmarkEnd w:id="101"/>
      <w:r>
        <w:rPr/>
        <w:t>9.3 Training and Knowledge Transfer</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TRG-001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Training needs analysis and plan approved by the Operator before implementation.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TRG-002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Role-based training: Operator operations, finance, compliance, risk, customer support, IT/system administrators, field sales staff (train-the-trainer), agents/merchants/distributors.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TRG-003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 training materials, videos and quick-reference cards for field and partner audiences.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TRG-004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Technical knowledge transfer to the Operator's IT: architecture, deployment, configuration, monitoring, troubleshooting, DR, security operations.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TRG-005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Follow-up training during UAT, Pilot and the support period.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102" w:name="__RefHeading___Toc13121_2869911984"/>
      <w:bookmarkEnd w:id="102"/>
      <w:r>
        <w:rPr/>
        <w:t>9.4 Pilot</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Pilot shall run in selected districts/areas (TBC — Appendix B) for a defined period (proposed 8–12 weeks).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PIL-002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Proposed Pilot success criteria (to be agreed): ≥ 99.9% transaction success rate; ≥ 99.99% availability; zero unresolved ledger/e-money discrepancies; zero open Sev-1/Sev-2 defects; reconciliation exceptions resolved within T+1; customer complaint resolution within SLA ≥ 95%; adoption targets per the Operator's business plan.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Pilot report covering KPIs, incidents, defects, user feedback and readiness for National Rollout.</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103" w:name="__RefHeading___Toc13123_2869911984"/>
      <w:bookmarkEnd w:id="103"/>
      <w:r>
        <w:rPr/>
        <w:t>9.5 National Rollout, Hypercare and Acceptance</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Phased rollout plan by region/area cluster with go/no-go criteria per wave.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Hypercare period (proposed 3 months after National Rollout) with heightened monitoring, on-site presence and daily status reporting.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Final Acceptance upon: completion of UAT, Pilot, National Rollout and Hypercare; security testing passed; documentation, training and knowledge transfer delivered; no open Critical/High defects.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Rollout reports per wave and a final rollout report.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104" w:name="__RefHeading___Toc13125_2869911984"/>
      <w:bookmarkEnd w:id="104"/>
      <w:r>
        <w:rPr/>
        <w:t>9.6 Exit and Transition Assistance</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 contract expiry/termination, BRAC IT shall hand over all Operator data, databases, configurations, documentation, credentials under Operator control and logs in usable formats, and provide knowledge transfer.</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Secure deletion of Operator data from BRAC IT environments after transition with written certification.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Source code escrow (as agreed) with documented build instructions so that the escrowed code can be built and deployed.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w:t>
            </w:r>
          </w:p>
        </w:tc>
      </w:tr>
    </w:tbl>
    <w:p>
      <w:pPr>
        <w:pStyle w:val="Normal"/>
        <w:spacing w:before="0" w:after="120"/>
        <w:rPr/>
      </w:pPr>
      <w:r>
        <w:rPr/>
      </w:r>
    </w:p>
    <w:p>
      <w:pPr>
        <w:pStyle w:val="Normal"/>
        <w:rPr/>
      </w:pPr>
      <w:r>
        <w:rPr/>
      </w:r>
      <w:r>
        <w:br w:type="page"/>
      </w:r>
    </w:p>
    <w:p>
      <w:pPr>
        <w:pStyle w:val="Heading1"/>
        <w:spacing w:before="0" w:after="160"/>
        <w:rPr/>
      </w:pPr>
      <w:bookmarkStart w:id="105" w:name="__RefHeading___Toc13127_2869911984"/>
      <w:bookmarkEnd w:id="105"/>
      <w:r>
        <w:rPr/>
        <w:t>Appendix A — Assumptions Register</w:t>
      </w:r>
    </w:p>
    <w:p>
      <w:pPr>
        <w:pStyle w:val="Normal"/>
        <w:spacing w:before="0" w:after="120"/>
        <w:rPr/>
      </w:pPr>
      <w:r>
        <w:rPr/>
        <w:t>The following working assumptions have been made so that this SRS is complete. Each assumption shall be confirmed, amended or rejected by the Product Owner and the Operator before baselining.</w:t>
      </w:r>
    </w:p>
    <w:tbl>
      <w:tblPr>
        <w:tblW w:w="9746" w:type="dxa"/>
        <w:jc w:val="left"/>
        <w:tblInd w:w="0" w:type="dxa"/>
        <w:tblLayout w:type="fixed"/>
        <w:tblCellMar>
          <w:top w:w="50" w:type="dxa"/>
          <w:left w:w="90" w:type="dxa"/>
          <w:bottom w:w="50" w:type="dxa"/>
          <w:right w:w="90" w:type="dxa"/>
        </w:tblCellMar>
      </w:tblPr>
      <w:tblGrid>
        <w:gridCol w:w="699"/>
        <w:gridCol w:w="1000"/>
        <w:gridCol w:w="5847"/>
        <w:gridCol w:w="2199"/>
      </w:tblGrid>
      <w:tr>
        <w:trPr>
          <w:tblHeader w:val="true"/>
        </w:trPr>
        <w:tc>
          <w:tcPr>
            <w:tcW w:w="6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10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Basis</w:t>
            </w:r>
          </w:p>
        </w:tc>
        <w:tc>
          <w:tcPr>
            <w:tcW w:w="584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Assumption</w:t>
            </w:r>
          </w:p>
        </w:tc>
        <w:tc>
          <w:tcPr>
            <w:tcW w:w="21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Impacted requirements</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A-01</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Operator holds (or will hold before Pilot) a Bangladesh Bank MFS licence and is the e-money issuer. Services not yet approved are built but disabled by configuration (C-01).</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C-01, ADM-005, EMY</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A-02</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Microfinance services (core MIS integration, MFI savings and loans, digital passbook, group collection, field-officer services) and lending/savings products are out of scope.</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1.2, C-02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A-03</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REF-01</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Sizing: about 80 million wallets at maturity; design peak 20,000+ business TPS; ~300 ms p99 for P2P, cash-out and merchant payment. Go-live capacity sized from the Operator's Year-1 forecast (B-02).</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PER-001 – PER-013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A-04</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REF-01</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Production on-premise in Bangladesh across DC1 and DC2 (metro, active-active) and a DR site in another city.</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2.5, AVL, C-12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A-05</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REF-01</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single authoritative double-entry ledger is the only place where balances change; external-network flows use holds that are posted or voided on the counterparty's answer.</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C-11, LED, UC-02, UC-09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A-06</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Both USSD (R1) and IVR (R2) are in scope. The Operator provides the USSD short code, aggregator/MNO agreements and IVR/contact-centre platform; telco session charges are pass-through.</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CX-008, CX-009, INT-15, INT-16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A-07</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iOS app is in scope at R2 with feature parity to Android.</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A-08</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 chatbot is intent-based (FAQ, authenticated status/balance queries, complaint registration, human hand-off) using in-country NLU; voice assistance is R3.</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CX-010, CX-011, SUP-010</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A-09</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NPSB connectivity via a sponsor bank. Binimoy participation from R2. Bits Pay acts as Bangla QR issuer in R1 and acquirer in R2. Scheme certification is executed by BRAC IT with the Operator.</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 MER, INT-04, INT-05, INT-11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A-10</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Wallet-to-MFS transfers via NPSB/Binimoy only; no bilateral MFS integrations.</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PAY-003, ADD-003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A-11</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One primary trust/settlement bank at Pilot, with the platform supporting multiple trust banks; pooled trust account per bank.</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EMY-005, REC</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A-12</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EC NID verification through an approved e-KYC provider contracted by the Operator. Face-match with liveness is the primary method; fingerprint verification is optional at assisted points (R2).</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ONB-004 – ONB-006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A-13</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ekPay is the aggregator for R1; direct biller integrations in R2 are limited to a list to be provided by the Operator.</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A-14</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P2G via ekPay/A-Challan; salary and G2P payments through bulk disbursement via portal or API.</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PAY-006, PAY-007</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A-15</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Inbound remittance received via partner bank(s)/RSPs with the wallet as beneficiary; government incentive calculated and funded by the partner bank.</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A-16</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 legacy wallet balance migration; institutional partners may supply recipient lists for pre-registration.</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ONB-020, MIG</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A-17</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Distributor hierarchy up to 5 levels; agents use the Android partner app (USSD fallback).</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 DST, CIC</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A-18</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Commission settled to the partner wallet by default (bank optional); AIT/VAT on commission computed and deducted at source by the platform.</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COM-004, COM-005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A-19</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Card add-money via PCI-DSS-certified gateway hosted page/SDK; Bits Pay outside PCI-DSS cardholder-data scope.</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ADD-004, C-08</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A-20</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An HSM is required for PIN/key management; procured by the Operator per BRAC IT specification.</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AUT-002, SEC-003, HW-005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A-21</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Rule-based fraud engine with rule-weighted scoring at R1; ML-based scoring at R3.</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A-22</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Device-level SIM binding/change detection is acceptable for R1; MNO SIM-swap API used when the Operator secures MNO agreements.</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FRD-007, INT-23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A-23</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 is built-in, with optional integration with an external AML system.</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A-24</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Regulation</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Screening lists: UN, BFIU domestic, OFAC, EU, UK HMT, internal; list data subscription (if commercial) procured by the Operator.</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AML-001, INT-17</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A-25</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provides a dedicated API gateway, which can sit behind the Operator's enterprise gateway if mandated.</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API-001, API-009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A-26</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Regulation</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Retention defaults per Section 8.3 (minimum 5 years per BFIU).</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 8.3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A-27</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Operator-deployed security tools (WAF, PAM, DAM, EDR, IAM/SSO) are used; BRAC IT integrates and cooperates.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SEC-004, SEC-009, AUD-006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A-28</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VAPT conducted by an independent third party appointed by the Operator; BRAC IT remediates findings.</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SEC-010</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A-29</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Operator runs a SIEM and SOC; logs forwarded via syslog-TLS/CEF/JSON; BRAC IT co-develops application-level use cases.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SEC-015, SEC-016, INT-19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A-30</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notifies the Operator of Critical security incidents within 2 hours of detection.</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A-31</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"Latest stable" means remaining on supported, non-EOL versions via a controlled upgrade cycle, not upgrading to every release.</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MNT-005, C-06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A-32</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24×7 for Sev-1/Sev-2, business hours for Sev-3/4; remote access via Operator VPN + PAM.</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MNT-008, SEC-018</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A-33</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Regulation</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proposes KYC tiers and limit matrix based on BB guidance; Operator Compliance approves values.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ONB-012, LIM, Appendix D</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A-34</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Android 8.0+ supported unless the Product Owner approves a higher floor (C-06).</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A-35</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NLQ and predictive analytics are R3 (Should) and run in-country/on-premise; no foreign cloud AI services process production data.</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RPT-011, RPT-012, POR-004</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A-36</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Operator provides SMS gateway/masking and email service; SMS costs are pass-through.</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NOT-010, INT-12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A-37</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ERP is TBC; the General Ledger service is the system of record for the books and produces a daily journal file (GENERIC_CSV_V1); an ERP-specific format or real-time push is added when the ERP is chosen.</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LED-014, GLD-031, INT-01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A-38</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Digital donations and community payments are desirable (Could, R3).</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BIL-009, BIL-010</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A-39</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 xml:space="preserve">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The General Ledger service is deployed before the first business transfer in every environment; bootstrapping from historical ledger data beyond the change-stream retention is not in R1.</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GLD-009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A-40</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 xml:space="preserve">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The fiscal year runs July–June unless the Operator decides otherwise.</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GLD-025, B-19</w:t>
            </w:r>
          </w:p>
        </w:tc>
      </w:tr>
    </w:tbl>
    <w:p>
      <w:pPr>
        <w:pStyle w:val="Normal"/>
        <w:spacing w:before="0" w:after="120"/>
        <w:rPr/>
      </w:pPr>
      <w:r>
        <w:rPr/>
      </w:r>
    </w:p>
    <w:p>
      <w:pPr>
        <w:pStyle w:val="Heading1"/>
        <w:rPr/>
      </w:pPr>
      <w:bookmarkStart w:id="106" w:name="__RefHeading___Toc13129_2869911984"/>
      <w:bookmarkEnd w:id="106"/>
      <w:r>
        <w:rPr/>
        <w:t>Appendix B — Open Decisions (TBC)</w:t>
      </w:r>
    </w:p>
    <w:tbl>
      <w:tblPr>
        <w:tblW w:w="9746" w:type="dxa"/>
        <w:jc w:val="left"/>
        <w:tblInd w:w="0" w:type="dxa"/>
        <w:tblLayout w:type="fixed"/>
        <w:tblCellMar>
          <w:top w:w="50" w:type="dxa"/>
          <w:left w:w="90" w:type="dxa"/>
          <w:bottom w:w="50" w:type="dxa"/>
          <w:right w:w="90" w:type="dxa"/>
        </w:tblCellMar>
      </w:tblPr>
      <w:tblGrid>
        <w:gridCol w:w="699"/>
        <w:gridCol w:w="5247"/>
        <w:gridCol w:w="2199"/>
        <w:gridCol w:w="1600"/>
      </w:tblGrid>
      <w:tr>
        <w:trPr>
          <w:tblHeader w:val="true"/>
        </w:trPr>
        <w:tc>
          <w:tcPr>
            <w:tcW w:w="6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524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Decision required</w:t>
            </w:r>
          </w:p>
        </w:tc>
        <w:tc>
          <w:tcPr>
            <w:tcW w:w="21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Needed by</w:t>
            </w:r>
          </w:p>
        </w:tc>
        <w:tc>
          <w:tcPr>
            <w:tcW w:w="16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Related</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B-01</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identity, licence status and list of approved/applied services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Requirements confirmation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A-01, C-01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B-02</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Business volume projections Year 1–5 (wallets, partners, transactions, peak TPS) to size go-live capacity</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Requirements confirmation</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A-03, PER-002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B-03</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Recovery targets (RPO/RTO) for the ledger at the DR site, and the resulting ledger replica placement (benchmark commit latency DC1–DC2–DR)</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hardware order</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A-04, AVL-005, AVL-007</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B-04</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Trust/settlement and sponsor bank(s); NPSB and Binimoy participation model</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integration phase</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A-09, A-11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B-05</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KYC tier definitions and limit values (Appendix D)</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B-06</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Retention periods per data category</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B-07</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Final list and formats of BB/BFIU regulatory reports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6.5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B-08</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Chart of accounts (GL CoA v0, 56 accounts, provisional), posting-rule set (v1, 51 rules), transaction codes and ERP/accounting system</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A-37, LED-014, GLD-004, GLD-006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B-09</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 and pricing schedule per product (within BB caps)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B-10</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SLA targets (availability, RPO/RTO, severity times)</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SLA signing</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A-32, AVL</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B-11</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Pilot districts/areas, duration and success criteria</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UAT</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PIL-001, PIL-002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B-12</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Minimum Android version</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design freeze</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A-34</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B-13</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HSM ownership and model</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Mobilisation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A-20</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B-14</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Third-party contracts: e-KYC, ekPay, payment gateway, SMS, USSD, IVR, top-up aggregator, sanctions data</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integration phase</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Section 6.3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B-15</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 brand guidelines and app naming</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UI design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UI-002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B-16</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Direct biller list for R2</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R2 build</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B-17</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Remittance partner banks/RSPs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R2 build</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B-18</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ERP product, import format and real-time GL push</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R1 GL go-live</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A-37, GLD-031, INT-01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B-19</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Fiscal-year start month</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A-40, GLD-025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B-20</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Trust-account interest: source and treatment (Operator income or payable)</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GLD-024</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B-21</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Manual-journal second-level approval threshold</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B-22</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VAT withheld on commission; hierarchical commission accrual model; funding of commission payable</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COM-003, COM-005, GLD-034</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B-23</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Whether a month may close with uncertified days (override with approval)</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R1 GL go-live</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GLD-026</w:t>
            </w:r>
          </w:p>
        </w:tc>
      </w:tr>
    </w:tbl>
    <w:p>
      <w:pPr>
        <w:pStyle w:val="Normal"/>
        <w:spacing w:before="0" w:after="120"/>
        <w:rPr/>
      </w:pPr>
      <w:r>
        <w:rPr/>
      </w:r>
    </w:p>
    <w:p>
      <w:pPr>
        <w:pStyle w:val="Heading1"/>
        <w:rPr/>
      </w:pPr>
      <w:bookmarkStart w:id="107" w:name="__RefHeading___Toc13131_2869911984"/>
      <w:bookmarkEnd w:id="107"/>
      <w:r>
        <w:rPr/>
        <w:t>Appendix C — Traceability Matrix (Module → Requirements)</w:t>
      </w:r>
    </w:p>
    <w:tbl>
      <w:tblPr>
        <w:tblW w:w="9746" w:type="dxa"/>
        <w:jc w:val="left"/>
        <w:tblInd w:w="0" w:type="dxa"/>
        <w:tblLayout w:type="fixed"/>
        <w:tblCellMar>
          <w:top w:w="50" w:type="dxa"/>
          <w:left w:w="90" w:type="dxa"/>
          <w:bottom w:w="50" w:type="dxa"/>
          <w:right w:w="90" w:type="dxa"/>
        </w:tblCellMar>
      </w:tblPr>
      <w:tblGrid>
        <w:gridCol w:w="1656"/>
        <w:gridCol w:w="3411"/>
        <w:gridCol w:w="4679"/>
      </w:tblGrid>
      <w:tr>
        <w:trPr>
          <w:tblHeader w:val="true"/>
        </w:trPr>
        <w:tc>
          <w:tcPr>
            <w:tcW w:w="165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SRS section</w:t>
            </w:r>
          </w:p>
        </w:tc>
        <w:tc>
          <w:tcPr>
            <w:tcW w:w="341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Module</w:t>
            </w:r>
          </w:p>
        </w:tc>
        <w:tc>
          <w:tcPr>
            <w:tcW w:w="467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 IDs (count)</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Onboarding &amp; e-KYC (ONB)</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ONB-001 – ONB-025 (25)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&amp; Ledger Management (LED)</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LED-001 – LED-019 (19)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Payments &amp; Transfers (PAY)</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PAY-001 – PAY-015 (15)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Services &amp; Bangla QR (MER)</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MER-001 – MER-010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Services (AGT)</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AGT-001 – AGT-008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4.6</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Bill Payment &amp; Value-Added Services (BIL)</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BIL-001 – BIL-010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4.7</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Remittance (REM)</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REM-001 – REM-007 (7)</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4.8</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Channels &amp; Experience (CX)</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CX-001 – CX-015 (15)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4.9</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Support, Disputes &amp; Reversal (SUP)</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SUP-001 – SUP-011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4.10</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Cash-In / Cash-Out (CICO)</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CIC-001 – CIC-010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Distributor Module (DST)</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DST-001 – DST-008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Agent &amp; Partner Onboarding (PON)</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PON-001 – PON-010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&amp; Agent Web Portal (PRT)</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PRT-001 – PRT-013 (13)</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Reporting, MIS &amp; Analytics (RPT)</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RPT-001 – RPT-014 (14)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Reconciliation &amp; Settlement (REC)</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REC-001 – REC-012 (12)</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4.16</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User Authentication (AUT)</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AUT-001 – AUT-011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4.17</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Account Closure, Deactivation &amp; Reactivation (ACL)</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ACL-001 – ACL-010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4.18</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 Money (ADD)</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ADD-001 – ADD-008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4.19</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Notifications &amp; Reminders (NOT)</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NOT-001 – NOT-010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4.20</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Campaign Management (CMP)</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CMP-001 – CMP-009 (9)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&amp; Distributor Commission Management (COM)</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COM-001 – COM-009 (9)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E-Money Issuance &amp; Redemption (EMY)</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EMY-001 – EMY-009 (9)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Management (BOM)</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BOM-001 – BOM-011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Fraud Management Engine (FRD)</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FRD-001 – FRD-012 (12)</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AML/CFT Compliance (AML)</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AML-001 – AML-011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4.26</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Limit &amp; Tier Management Engine (LIM)</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LIM-001 – LIM-009 (9)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4.27</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Device Management &amp; Session Control (DEV)</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DEV-001 – DEV-011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4.28</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Liquidity &amp; Float Management (LIQ)</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LIQ-001 – LIQ-008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4.29</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Gateway &amp; Integration Management (API)</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API-001 – API-010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4.30</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Archiving &amp; Retention (ARC)</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ARC-001 – ARC-007 (7)</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4.31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Trail &amp; System Traceability (AUD)</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AUD-001 – AUD-006 (6)</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4.32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 Charge &amp; Tax Engine (FEE)</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FEE-001 – FEE-006 (6)</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4.33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User, Role &amp; System Administration (ADM)</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ADM-001 – ADM-007 (7)</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4.34</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General Ledger &amp; Accounting (GLD)</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GLD-001 – GLD-034 (34)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6.1</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User Interfaces</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UI-001 – UI-006 (6)</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6.2</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Hardware Interfaces</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HW-001 – HW-005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6.3</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Software Interfaces — Integration Catalogue</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INT-01 – INT-23 (23)</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6.3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General integration requirements</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INT-G01 – INT-G05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6.4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Communication Interfaces</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COMM-001 – COMM-004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6.5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Regulatory Reporting Catalogue</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RR-01 – RR-11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7.1</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Performance and Capacity (PER)</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PER-001 – PER-014 (14)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7.2</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Availability, Resilience and Disaster Recovery (AVL)</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AVL-001 – AVL-011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7.3</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Security (SEC)</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SEC-001 – SEC-020 (20)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7.4</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Compliance with Bangladesh Bank Cybersecurity Framework v1.0 (2026) (CSF)</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CSF-001 – CSF-008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7.5</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Privacy and Data Protection (PRV)</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PRV-001 – PRV-007 (7)</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7.6</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Usability, Accessibility and Localisation (USA)</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USA-001 – USA-005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7.7</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Maintainability, Supportability and Operations (MNT)</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MNT-001 – MNT-008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7.8</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Portability, Interoperability and AI Readiness (POR)</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POR-001 – POR-005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7.9</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Reliability and Data Integrity (REL)</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REL-001 – REL-004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7.10</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Quality Assurance and Testing (QA)</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QA-001 – QA-004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8.4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Quality and Ownership</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DAT-001 – DAT-005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9.1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Environments</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TRN-001 – TRN-002 (2)</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9.2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Load and Pre-Registration</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MIG-001 – MIG-004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9.3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Training and Knowledge Transfer</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TRG-001 – TRG-005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9.4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Pilot</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PIL-001 – PIL-003 (3)</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9.5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National Rollout, Hypercare and Acceptance</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ROL-001 – ROL-004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9.6</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Exit and Transition Assistance</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EXT-001 – EXT-003 (3)</w:t>
            </w:r>
          </w:p>
        </w:tc>
      </w:tr>
    </w:tbl>
    <w:p>
      <w:pPr>
        <w:pStyle w:val="Normal"/>
        <w:spacing w:before="0" w:after="120"/>
        <w:rPr/>
      </w:pPr>
      <w:r>
        <w:rPr/>
      </w:r>
    </w:p>
    <w:p>
      <w:pPr>
        <w:pStyle w:val="Heading1"/>
        <w:rPr/>
      </w:pPr>
      <w:bookmarkStart w:id="108" w:name="__RefHeading___Toc13133_2869911984"/>
      <w:bookmarkEnd w:id="108"/>
      <w:r>
        <w:rPr/>
        <w:t>Appendix D — KYC Tier and Limit Matrix (Structure)</w:t>
      </w:r>
    </w:p>
    <w:p>
      <w:pPr>
        <w:pStyle w:val="Normal"/>
        <w:spacing w:before="0" w:after="120"/>
        <w:rPr/>
      </w:pPr>
      <w:r>
        <w:rPr/>
        <w:t>The structure below shall be populated by the Operator's Compliance team in line with applicable Bangladesh Bank instructions (B-05). All values are configurable in the Limit &amp; Tier engine. "TBC" values must be confirmed before configuration.</w:t>
      </w:r>
    </w:p>
    <w:p>
      <w:pPr>
        <w:pStyle w:val="Normal"/>
        <w:spacing w:before="0" w:after="120"/>
        <w:rPr/>
      </w:pPr>
      <w:r>
        <w:rPr>
          <w:b/>
          <w:bCs/>
        </w:rPr>
        <w:t>Customer tiers</w:t>
      </w:r>
    </w:p>
    <w:tbl>
      <w:tblPr>
        <w:tblW w:w="9746" w:type="dxa"/>
        <w:jc w:val="left"/>
        <w:tblInd w:w="0" w:type="dxa"/>
        <w:tblLayout w:type="fixed"/>
        <w:tblCellMar>
          <w:top w:w="50" w:type="dxa"/>
          <w:left w:w="90" w:type="dxa"/>
          <w:bottom w:w="50" w:type="dxa"/>
          <w:right w:w="90" w:type="dxa"/>
        </w:tblCellMar>
      </w:tblPr>
      <w:tblGrid>
        <w:gridCol w:w="1836"/>
        <w:gridCol w:w="1317"/>
        <w:gridCol w:w="2307"/>
        <w:gridCol w:w="4285"/>
      </w:tblGrid>
      <w:tr>
        <w:trPr>
          <w:tblHeader w:val="true"/>
        </w:trPr>
        <w:tc>
          <w:tcPr>
            <w:tcW w:w="183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Attribute</w:t>
            </w:r>
          </w:p>
        </w:tc>
        <w:tc>
          <w:tcPr>
            <w:tcW w:w="131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Tier 0 — Basic</w:t>
            </w:r>
          </w:p>
        </w:tc>
        <w:tc>
          <w:tcPr>
            <w:tcW w:w="230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Tier 1 — Simplified e-KYC</w:t>
            </w:r>
          </w:p>
        </w:tc>
        <w:tc>
          <w:tcPr>
            <w:tcW w:w="428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Tier 2 — Full e-KYC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Verification</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Mobile OTP only</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NID verified with EC + selfie liveness/face-match</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Tier 1 + full profile, nominee, risk grading, (address/occupation verification as required)</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Permitted services</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Receive only / limited (TBC)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retail services within limits</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services incl. higher limits and international remittance</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Maximum balance</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Cash-in per day / month (count, amount)</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Cash-out per day / month</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P2P send per day / month</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payment per day / month</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Bank / MFS transfer per day / month</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 money per day / month</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Bulk disbursement (salary/G2P) inflow</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Policy-based treatment (TBC)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Policy-based treatment (TBC)</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Policy-based treatment (TBC)</w:t>
            </w:r>
          </w:p>
        </w:tc>
      </w:tr>
    </w:tbl>
    <w:p>
      <w:pPr>
        <w:pStyle w:val="Normal"/>
        <w:spacing w:before="0" w:after="120"/>
        <w:rPr/>
      </w:pPr>
      <w:r>
        <w:rPr/>
      </w:r>
    </w:p>
    <w:p>
      <w:pPr>
        <w:pStyle w:val="Normal"/>
        <w:spacing w:before="0" w:after="120"/>
        <w:rPr/>
      </w:pPr>
      <w:r>
        <w:rPr>
          <w:b/>
          <w:bCs/>
        </w:rPr>
        <w:t>Partner categories</w:t>
      </w:r>
      <w:r>
        <w:rPr/>
        <w:t xml:space="preserve"> — separate limit profiles for: Retail agent, Super-agent, Merchant-agent, Micro merchant, Small merchant, Enterprise merchant, Distributor, Master distributor, Institutional partner (each with max balance, daily CICO value, daily transaction count, float limits — all TBC).</w:t>
      </w:r>
    </w:p>
    <w:p>
      <w:pPr>
        <w:pStyle w:val="Normal"/>
        <w:rPr/>
      </w:pPr>
      <w:r>
        <w:rPr/>
      </w:r>
      <w:r>
        <w:br w:type="page"/>
      </w:r>
    </w:p>
    <w:p>
      <w:pPr>
        <w:pStyle w:val="Heading1"/>
        <w:spacing w:before="0" w:after="160"/>
        <w:rPr/>
      </w:pPr>
      <w:bookmarkStart w:id="109" w:name="__RefHeading___Toc13135_2869911984"/>
      <w:bookmarkEnd w:id="109"/>
      <w:r>
        <w:rPr/>
        <w:t>Appendix E — Approval and Sign-Off</w:t>
      </w:r>
    </w:p>
    <w:p>
      <w:pPr>
        <w:pStyle w:val="Normal"/>
        <w:spacing w:before="0" w:after="120"/>
        <w:rPr/>
      </w:pPr>
      <w:r>
        <w:rPr/>
        <w:t>By signing below, the parties confirm that this SRS (version stated on the cover), together with the resolution of Appendix A and B items, constitutes the agreed requirements baseline for the Bits Pay platform. Subsequent changes shall follow the Change Request process.</w:t>
      </w:r>
    </w:p>
    <w:tbl>
      <w:tblPr>
        <w:tblW w:w="9746" w:type="dxa"/>
        <w:jc w:val="left"/>
        <w:tblInd w:w="0" w:type="dxa"/>
        <w:tblLayout w:type="fixed"/>
        <w:tblCellMar>
          <w:top w:w="50" w:type="dxa"/>
          <w:left w:w="90" w:type="dxa"/>
          <w:bottom w:w="50" w:type="dxa"/>
          <w:right w:w="90" w:type="dxa"/>
        </w:tblCellMar>
      </w:tblPr>
      <w:tblGrid>
        <w:gridCol w:w="2600"/>
        <w:gridCol w:w="2000"/>
        <w:gridCol w:w="1999"/>
        <w:gridCol w:w="1846"/>
        <w:gridCol w:w="1301"/>
      </w:tblGrid>
      <w:tr>
        <w:trPr>
          <w:tblHeader w:val="true"/>
        </w:trPr>
        <w:tc>
          <w:tcPr>
            <w:tcW w:w="26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Role</w:t>
            </w:r>
          </w:p>
        </w:tc>
        <w:tc>
          <w:tcPr>
            <w:tcW w:w="20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Name</w:t>
            </w:r>
          </w:p>
        </w:tc>
        <w:tc>
          <w:tcPr>
            <w:tcW w:w="1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Organisation</w:t>
            </w:r>
          </w:p>
        </w:tc>
        <w:tc>
          <w:tcPr>
            <w:tcW w:w="184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Signature</w:t>
            </w:r>
          </w:p>
        </w:tc>
        <w:tc>
          <w:tcPr>
            <w:tcW w:w="130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Date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 Owner / Sponsor</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Head of Product</w:t>
            </w:r>
          </w:p>
        </w:tc>
        <w:tc>
          <w:tcPr>
            <w:tcW w:w="2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Head of Compliance / CAMLCO</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CISO</w:t>
            </w:r>
          </w:p>
        </w:tc>
        <w:tc>
          <w:tcPr>
            <w:tcW w:w="2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18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Head of Operations</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Head of Finance</w:t>
            </w:r>
          </w:p>
        </w:tc>
        <w:tc>
          <w:tcPr>
            <w:tcW w:w="2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18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Project Director</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Solution Architect</w:t>
            </w:r>
          </w:p>
        </w:tc>
        <w:tc>
          <w:tcPr>
            <w:tcW w:w="2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Business Analyst Lead</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bl>
    <w:p>
      <w:pPr>
        <w:pStyle w:val="Normal"/>
        <w:spacing w:before="0" w:after="120"/>
        <w:rPr/>
      </w:pPr>
      <w:r>
        <w:rPr/>
      </w:r>
    </w:p>
    <w:sectPr>
      <w:headerReference w:type="default" r:id="rId2"/>
      <w:footerReference w:type="default" r:id="rId3"/>
      <w:type w:val="nextPage"/>
      <w:pgSz w:w="11906" w:h="16838"/>
      <w:pgMar w:left="1080" w:right="1080" w:gutter="0" w:header="500" w:top="1080" w:footer="50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746" w:leader="none"/>
      </w:tabs>
      <w:rPr/>
    </w:pPr>
    <w:r>
      <w:rPr>
        <w:color w:val="595959"/>
        <w:sz w:val="16"/>
        <w:szCs w:val="16"/>
      </w:rPr>
      <w:t>BRAC IT Services Ltd — Bits Pay</w:t>
      <w:tab/>
      <w:t xml:space="preserve">Page </w:t>
    </w:r>
    <w:r>
      <w:rPr/>
      <w:fldChar w:fldCharType="begin"/>
    </w:r>
    <w:r>
      <w:rPr/>
      <w:instrText xml:space="preserve"> PAGE </w:instrText>
    </w:r>
    <w:r>
      <w:rPr/>
      <w:fldChar w:fldCharType="separate"/>
    </w:r>
    <w:r>
      <w:rPr/>
      <w:t>57</w:t>
    </w:r>
    <w:r>
      <w:rPr/>
      <w:fldChar w:fldCharType="end"/>
    </w:r>
    <w:r>
      <w:rPr/>
      <w:t xml:space="preserve"> of </w:t>
    </w:r>
    <w:r>
      <w:rPr/>
      <w:fldChar w:fldCharType="begin"/>
    </w:r>
    <w:r>
      <w:rPr/>
      <w:instrText xml:space="preserve"> NUMPAGES </w:instrText>
    </w:r>
    <w:r>
      <w:rPr/>
      <w:fldChar w:fldCharType="separate"/>
    </w:r>
    <w:r>
      <w:rPr/>
      <w:t>57</w:t>
    </w:r>
    <w:r>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746" w:leader="none"/>
      </w:tabs>
      <w:rPr/>
    </w:pPr>
    <w:r>
      <w:rPr>
        <w:color w:val="595959"/>
        <w:sz w:val="16"/>
        <w:szCs w:val="16"/>
      </w:rPr>
      <w:t>Bits Pay — Software Requirements Specification</w:t>
      <w:tab/>
      <w:t>v1.1 Draft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Heading1">
    <w:name w:val="Heading 1"/>
    <w:basedOn w:val="Heading"/>
    <w:qFormat/>
    <w:pPr>
      <w:spacing w:before="240" w:after="160"/>
      <w:outlineLvl w:val="0"/>
    </w:pPr>
    <w:rPr>
      <w:rFonts w:ascii="Calibri" w:hAnsi="Calibri" w:eastAsia="Calibri" w:cs="Calibri"/>
      <w:b/>
      <w:bCs/>
      <w:color w:val="1F3864"/>
      <w:sz w:val="32"/>
      <w:szCs w:val="32"/>
    </w:rPr>
  </w:style>
  <w:style w:type="paragraph" w:styleId="Heading2">
    <w:name w:val="Heading 2"/>
    <w:basedOn w:val="Heading"/>
    <w:qFormat/>
    <w:pPr>
      <w:keepNext w:val="true"/>
      <w:spacing w:before="240" w:after="120"/>
      <w:outlineLvl w:val="1"/>
    </w:pPr>
    <w:rPr>
      <w:rFonts w:ascii="Calibri" w:hAnsi="Calibri" w:eastAsia="Calibri" w:cs="Calibri"/>
      <w:b/>
      <w:bCs/>
      <w:color w:val="2E75B6"/>
      <w:sz w:val="26"/>
      <w:szCs w:val="26"/>
    </w:rPr>
  </w:style>
  <w:style w:type="paragraph" w:styleId="Heading3">
    <w:name w:val="Heading 3"/>
    <w:basedOn w:val="Heading"/>
    <w:qFormat/>
    <w:pPr>
      <w:keepNext w:val="true"/>
      <w:spacing w:before="180" w:after="80"/>
      <w:outlineLvl w:val="2"/>
    </w:pPr>
    <w:rPr>
      <w:rFonts w:ascii="Calibri" w:hAnsi="Calibri" w:eastAsia="Calibri" w:cs="Calibri"/>
      <w:b/>
      <w:bCs/>
      <w:color w:val="1F386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57</Pages>
  <Words>21245</Words>
  <Characters>126228</Characters>
  <CharactersWithSpaces>143109</CharactersWithSpaces>
  <Paragraphs>4443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2026-10-02T10:11:08Z</dcterms:created>
  <dc:creator>BRAC IT Services Ltd</dc:creator>
  <dc:description/>
  <dc:language>en-US</dc:language>
  <cp:lastModifiedBy/>
  <dcterms:modified xsi:type="dcterms:W3CDTF">2026-10-02T16:11:45Z</dcterms:modified>
  <cp:revision>2</cp:revision>
  <dc:subject/>
  <dc:title>ASA Pay — Software Requirements Specification</dc:title>
</cp:coreProperties>
</file>