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Dokumen Serah Terima Proyek</w:t>
      </w:r>
    </w:p>
    <w:p>
      <w:pPr>
        <w:spacing w:after="140"/>
      </w:pPr>
      <w:r>
        <w:rPr>
          <w:rFonts w:ascii="Calibri" w:cs="Calibri" w:eastAsia="Calibri" w:hAnsi="Calibri"/>
          <w:b/>
          <w:bCs/>
          <w:i/>
          <w:iCs/>
          <w:color w:val="555555"/>
          <w:sz w:val="22"/>
          <w:szCs w:val="22"/>
        </w:rPr>
        <w:t xml:space="preserve">Modul IOTN-AC. Penilaian Aesthetic Component dari Foto Intraoral Frontal</w:t>
      </w:r>
    </w:p>
    <w:p>
      <w:pPr>
        <w:pBdr>
          <w:bottom w:val="single" w:color="CCCCCC" w:sz="6" w:space="1"/>
        </w:pBdr>
        <w:spacing w:after="200" w:before="100"/>
      </w:pPr>
    </w:p>
    <w:p>
      <w:pPr>
        <w:pStyle w:val="Heading1"/>
        <w:spacing w:after="140" w:before="320"/>
      </w:pPr>
      <w:r>
        <w:t xml:space="preserve">Informasi Proyek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shd w:fill="F2F6FA" w:val="clear"/>
            <w:tcMar>
              <w:top w:type="dxa" w:w="100"/>
              <w:left w:type="dxa" w:w="120"/>
              <w:bottom w:type="dxa" w:w="100"/>
              <w:right w:type="dxa" w:w="120"/>
            </w:tcMar>
          </w:tcPr>
          <w:p>
            <w:r>
              <w:rPr>
                <w:rFonts w:ascii="Calibri" w:cs="Calibri" w:eastAsia="Calibri" w:hAnsi="Calibri"/>
                <w:b/>
                <w:bCs/>
                <w:sz w:val="22"/>
                <w:szCs w:val="22"/>
              </w:rPr>
              <w:t xml:space="preserve">NAMA PROYEK</w:t>
            </w:r>
          </w:p>
        </w:tc>
        <w:tc>
          <w:tcPr>
            <w:tcW w:type="dxa" w:w="6300"/>
            <w:tcMar>
              <w:top w:type="dxa" w:w="100"/>
              <w:left w:type="dxa" w:w="120"/>
              <w:bottom w:type="dxa" w:w="100"/>
              <w:right w:type="dxa" w:w="120"/>
            </w:tcMar>
          </w:tcPr>
          <w:p>
            <w:r>
              <w:rPr>
                <w:rFonts w:ascii="Calibri" w:cs="Calibri" w:eastAsia="Calibri" w:hAnsi="Calibri"/>
                <w:sz w:val="22"/>
                <w:szCs w:val="22"/>
              </w:rPr>
              <w:t xml:space="preserve">Modul Penilaian IOTN Aesthetic Component (AC), bagian dari Aplikasi Penilaian Malocclusion dan IOTN dari 5 Foto Intraoral</w:t>
            </w:r>
          </w:p>
        </w:tc>
      </w:tr>
      <w:tr>
        <w:tc>
          <w:tcPr>
            <w:tcW w:type="dxa" w:w="3200"/>
            <w:shd w:fill="F2F6FA" w:val="clear"/>
            <w:tcMar>
              <w:top w:type="dxa" w:w="100"/>
              <w:left w:type="dxa" w:w="120"/>
              <w:bottom w:type="dxa" w:w="100"/>
              <w:right w:type="dxa" w:w="120"/>
            </w:tcMar>
          </w:tcPr>
          <w:p>
            <w:r>
              <w:rPr>
                <w:rFonts w:ascii="Calibri" w:cs="Calibri" w:eastAsia="Calibri" w:hAnsi="Calibri"/>
                <w:b/>
                <w:bCs/>
                <w:sz w:val="22"/>
                <w:szCs w:val="22"/>
              </w:rPr>
              <w:t xml:space="preserve">CAKUPAN MODUL</w:t>
            </w:r>
          </w:p>
        </w:tc>
        <w:tc>
          <w:tcPr>
            <w:tcW w:type="dxa" w:w="6300"/>
            <w:tcMar>
              <w:top w:type="dxa" w:w="100"/>
              <w:left w:type="dxa" w:w="120"/>
              <w:bottom w:type="dxa" w:w="100"/>
              <w:right w:type="dxa" w:w="120"/>
            </w:tcMar>
          </w:tcPr>
          <w:p>
            <w:r>
              <w:rPr>
                <w:rFonts w:ascii="Calibri" w:cs="Calibri" w:eastAsia="Calibri" w:hAnsi="Calibri"/>
                <w:sz w:val="22"/>
                <w:szCs w:val="22"/>
              </w:rPr>
              <w:t xml:space="preserve">Hanya tampilan frontal (frontal view). IOTN-DHC / MOCDO dan 4 tampilan lainnya dikerjakan anggota tim lain.</w:t>
            </w:r>
          </w:p>
        </w:tc>
      </w:tr>
      <w:tr>
        <w:tc>
          <w:tcPr>
            <w:tcW w:type="dxa" w:w="3200"/>
            <w:shd w:fill="F2F6FA" w:val="clear"/>
            <w:tcMar>
              <w:top w:type="dxa" w:w="100"/>
              <w:left w:type="dxa" w:w="120"/>
              <w:bottom w:type="dxa" w:w="100"/>
              <w:right w:type="dxa" w:w="120"/>
            </w:tcMar>
          </w:tcPr>
          <w:p>
            <w:r>
              <w:rPr>
                <w:rFonts w:ascii="Calibri" w:cs="Calibri" w:eastAsia="Calibri" w:hAnsi="Calibri"/>
                <w:b/>
                <w:bCs/>
                <w:sz w:val="22"/>
                <w:szCs w:val="22"/>
              </w:rPr>
              <w:t xml:space="preserve">KONTRIBUTOR PROYEK</w:t>
            </w:r>
          </w:p>
        </w:tc>
        <w:tc>
          <w:tcPr>
            <w:tcW w:type="dxa" w:w="6300"/>
            <w:tcMar>
              <w:top w:type="dxa" w:w="100"/>
              <w:left w:type="dxa" w:w="120"/>
              <w:bottom w:type="dxa" w:w="100"/>
              <w:right w:type="dxa" w:w="120"/>
            </w:tcMar>
          </w:tcPr>
          <w:p>
            <w:r>
              <w:rPr>
                <w:rFonts w:ascii="Calibri" w:cs="Calibri" w:eastAsia="Calibri" w:hAnsi="Calibri"/>
                <w:sz w:val="22"/>
                <w:szCs w:val="22"/>
              </w:rPr>
              <w:t xml:space="preserve">Nana</w:t>
            </w:r>
          </w:p>
        </w:tc>
      </w:tr>
      <w:tr>
        <w:tc>
          <w:tcPr>
            <w:tcW w:type="dxa" w:w="3200"/>
            <w:shd w:fill="F2F6FA" w:val="clear"/>
            <w:tcMar>
              <w:top w:type="dxa" w:w="100"/>
              <w:left w:type="dxa" w:w="120"/>
              <w:bottom w:type="dxa" w:w="100"/>
              <w:right w:type="dxa" w:w="120"/>
            </w:tcMar>
          </w:tcPr>
          <w:p>
            <w:r>
              <w:rPr>
                <w:rFonts w:ascii="Calibri" w:cs="Calibri" w:eastAsia="Calibri" w:hAnsi="Calibri"/>
                <w:b/>
                <w:bCs/>
                <w:sz w:val="22"/>
                <w:szCs w:val="22"/>
              </w:rPr>
              <w:t xml:space="preserve">STAKEHOLDER</w:t>
            </w:r>
          </w:p>
        </w:tc>
        <w:tc>
          <w:tcPr>
            <w:tcW w:type="dxa" w:w="6300"/>
            <w:tcMar>
              <w:top w:type="dxa" w:w="100"/>
              <w:left w:type="dxa" w:w="120"/>
              <w:bottom w:type="dxa" w:w="100"/>
              <w:right w:type="dxa" w:w="120"/>
            </w:tcMar>
          </w:tcPr>
          <w:p>
            <w:r>
              <w:rPr>
                <w:rFonts w:ascii="Calibri" w:cs="Calibri" w:eastAsia="Calibri" w:hAnsi="Calibri"/>
                <w:sz w:val="22"/>
                <w:szCs w:val="22"/>
              </w:rPr>
              <w:t xml:space="preserve">drg. Maria Laurentia Sanjaya, Sp.Orto</w:t>
            </w:r>
          </w:p>
        </w:tc>
      </w:tr>
      <w:tr>
        <w:tc>
          <w:tcPr>
            <w:tcW w:type="dxa" w:w="3200"/>
            <w:shd w:fill="F2F6FA" w:val="clear"/>
            <w:tcMar>
              <w:top w:type="dxa" w:w="100"/>
              <w:left w:type="dxa" w:w="120"/>
              <w:bottom w:type="dxa" w:w="100"/>
              <w:right w:type="dxa" w:w="120"/>
            </w:tcMar>
          </w:tcPr>
          <w:p>
            <w:r>
              <w:rPr>
                <w:rFonts w:ascii="Calibri" w:cs="Calibri" w:eastAsia="Calibri" w:hAnsi="Calibri"/>
                <w:b/>
                <w:bCs/>
                <w:sz w:val="22"/>
                <w:szCs w:val="22"/>
              </w:rPr>
              <w:t xml:space="preserve">PERIODE PROYEK</w:t>
            </w:r>
          </w:p>
        </w:tc>
        <w:tc>
          <w:tcPr>
            <w:tcW w:type="dxa" w:w="6300"/>
            <w:tcMar>
              <w:top w:type="dxa" w:w="100"/>
              <w:left w:type="dxa" w:w="120"/>
              <w:bottom w:type="dxa" w:w="100"/>
              <w:right w:type="dxa" w:w="120"/>
            </w:tcMar>
          </w:tcPr>
          <w:p>
            <w:r>
              <w:rPr>
                <w:rFonts w:ascii="Calibri" w:cs="Calibri" w:eastAsia="Calibri" w:hAnsi="Calibri"/>
                <w:sz w:val="22"/>
                <w:szCs w:val="22"/>
              </w:rPr>
              <w:t xml:space="preserve">Tanggal mulai: ...        Tanggal selesai: ... (isi sebelum pengumpulan)</w:t>
            </w:r>
          </w:p>
        </w:tc>
      </w:tr>
    </w:tbl>
    <w:p>
      <w:pPr>
        <w:spacing w:after="120"/>
      </w:pPr>
    </w:p>
    <w:p>
      <w:pPr>
        <w:pStyle w:val="Heading2"/>
        <w:spacing w:after="100" w:before="220"/>
      </w:pPr>
      <w:r>
        <w:t xml:space="preserve">Daftar Deliverable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800"/>
        <w:gridCol w:w="3700"/>
      </w:tblGrid>
      <w:tr>
        <w:trPr>
          <w:tblHeader/>
        </w:trPr>
        <w:tc>
          <w:tcPr>
            <w:tcW w:type="dxa" w:w="58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Item</w:t>
            </w:r>
          </w:p>
        </w:tc>
        <w:tc>
          <w:tcPr>
            <w:tcW w:type="dxa" w:w="37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Lokasi</w:t>
            </w:r>
          </w:p>
        </w:tc>
      </w:tr>
      <w:tr>
        <w:tc>
          <w:tcPr>
            <w:tcW w:type="dxa" w:w="5800"/>
            <w:tcMar>
              <w:top w:type="dxa" w:w="80"/>
              <w:left w:type="dxa" w:w="100"/>
              <w:bottom w:type="dxa" w:w="80"/>
              <w:right w:type="dxa" w:w="100"/>
            </w:tcMar>
          </w:tcPr>
          <w:p>
            <w:r>
              <w:rPr>
                <w:rFonts w:ascii="Calibri" w:cs="Calibri" w:eastAsia="Calibri" w:hAnsi="Calibri"/>
                <w:sz w:val="20"/>
                <w:szCs w:val="20"/>
              </w:rPr>
              <w:t xml:space="preserve">Data Mentah (dataset OMNI front-teeth, label 3 annotator)</w:t>
            </w:r>
          </w:p>
        </w:tc>
        <w:tc>
          <w:tcPr>
            <w:tcW w:type="dxa" w:w="3700"/>
            <w:tcMar>
              <w:top w:type="dxa" w:w="80"/>
              <w:left w:type="dxa" w:w="100"/>
              <w:bottom w:type="dxa" w:w="80"/>
              <w:right w:type="dxa" w:w="100"/>
            </w:tcMar>
          </w:tcPr>
          <w:p>
            <w:r>
              <w:rPr>
                <w:rFonts w:ascii="Calibri" w:cs="Calibri" w:eastAsia="Calibri" w:hAnsi="Calibri"/>
                <w:sz w:val="20"/>
                <w:szCs w:val="20"/>
              </w:rPr>
              <w:t xml:space="preserve">IOTN-AC/data/raw, IOTN-AC/data/labels</w:t>
            </w:r>
          </w:p>
        </w:tc>
      </w:tr>
      <w:tr>
        <w:tc>
          <w:tcPr>
            <w:tcW w:type="dxa" w:w="5800"/>
            <w:tcMar>
              <w:top w:type="dxa" w:w="80"/>
              <w:left w:type="dxa" w:w="100"/>
              <w:bottom w:type="dxa" w:w="80"/>
              <w:right w:type="dxa" w:w="100"/>
            </w:tcMar>
          </w:tcPr>
          <w:p>
            <w:r>
              <w:rPr>
                <w:rFonts w:ascii="Calibri" w:cs="Calibri" w:eastAsia="Calibri" w:hAnsi="Calibri"/>
                <w:sz w:val="20"/>
                <w:szCs w:val="20"/>
              </w:rPr>
              <w:t xml:space="preserve">Notebook Pipeline Final (produksi model deployed)</w:t>
            </w:r>
          </w:p>
        </w:tc>
        <w:tc>
          <w:tcPr>
            <w:tcW w:type="dxa" w:w="3700"/>
            <w:tcMar>
              <w:top w:type="dxa" w:w="80"/>
              <w:left w:type="dxa" w:w="100"/>
              <w:bottom w:type="dxa" w:w="80"/>
              <w:right w:type="dxa" w:w="100"/>
            </w:tcMar>
          </w:tcPr>
          <w:p>
            <w:r>
              <w:rPr>
                <w:rFonts w:ascii="Calibri" w:cs="Calibri" w:eastAsia="Calibri" w:hAnsi="Calibri"/>
                <w:sz w:val="20"/>
                <w:szCs w:val="20"/>
              </w:rPr>
              <w:t xml:space="preserve">IOTN-AC/notebooks/10_ac_multiannotator_resnet.ipynb</w:t>
            </w:r>
          </w:p>
        </w:tc>
      </w:tr>
      <w:tr>
        <w:tc>
          <w:tcPr>
            <w:tcW w:type="dxa" w:w="5800"/>
            <w:tcMar>
              <w:top w:type="dxa" w:w="80"/>
              <w:left w:type="dxa" w:w="100"/>
              <w:bottom w:type="dxa" w:w="80"/>
              <w:right w:type="dxa" w:w="100"/>
            </w:tcMar>
          </w:tcPr>
          <w:p>
            <w:r>
              <w:rPr>
                <w:rFonts w:ascii="Calibri" w:cs="Calibri" w:eastAsia="Calibri" w:hAnsi="Calibri"/>
                <w:sz w:val="20"/>
                <w:szCs w:val="20"/>
              </w:rPr>
              <w:t xml:space="preserve">Notebook Perbandingan Arsitektur (dasar pengambilan keputusan)</w:t>
            </w:r>
          </w:p>
        </w:tc>
        <w:tc>
          <w:tcPr>
            <w:tcW w:type="dxa" w:w="3700"/>
            <w:tcMar>
              <w:top w:type="dxa" w:w="80"/>
              <w:left w:type="dxa" w:w="100"/>
              <w:bottom w:type="dxa" w:w="80"/>
              <w:right w:type="dxa" w:w="100"/>
            </w:tcMar>
          </w:tcPr>
          <w:p>
            <w:r>
              <w:rPr>
                <w:rFonts w:ascii="Calibri" w:cs="Calibri" w:eastAsia="Calibri" w:hAnsi="Calibri"/>
                <w:sz w:val="20"/>
                <w:szCs w:val="20"/>
              </w:rPr>
              <w:t xml:space="preserve">IOTN-AC/notebooks/01_ac_pipeline.ipynb s.d. 05_transfer_custom_head.ipynb</w:t>
            </w:r>
          </w:p>
        </w:tc>
      </w:tr>
      <w:tr>
        <w:tc>
          <w:tcPr>
            <w:tcW w:type="dxa" w:w="5800"/>
            <w:tcMar>
              <w:top w:type="dxa" w:w="80"/>
              <w:left w:type="dxa" w:w="100"/>
              <w:bottom w:type="dxa" w:w="80"/>
              <w:right w:type="dxa" w:w="100"/>
            </w:tcMar>
          </w:tcPr>
          <w:p>
            <w:r>
              <w:rPr>
                <w:rFonts w:ascii="Calibri" w:cs="Calibri" w:eastAsia="Calibri" w:hAnsi="Calibri"/>
                <w:sz w:val="20"/>
                <w:szCs w:val="20"/>
              </w:rPr>
              <w:t xml:space="preserve">Model AC Final (Core ML)</w:t>
            </w:r>
          </w:p>
        </w:tc>
        <w:tc>
          <w:tcPr>
            <w:tcW w:type="dxa" w:w="3700"/>
            <w:tcMar>
              <w:top w:type="dxa" w:w="80"/>
              <w:left w:type="dxa" w:w="100"/>
              <w:bottom w:type="dxa" w:w="80"/>
              <w:right w:type="dxa" w:w="100"/>
            </w:tcMar>
          </w:tcPr>
          <w:p>
            <w:r>
              <w:rPr>
                <w:rFonts w:ascii="Calibri" w:cs="Calibri" w:eastAsia="Calibri" w:hAnsi="Calibri"/>
                <w:sz w:val="20"/>
                <w:szCs w:val="20"/>
              </w:rPr>
              <w:t xml:space="preserve">IOTN-AC/models/ACGrader.mlpackage + ACGrader_config.json</w:t>
            </w:r>
          </w:p>
        </w:tc>
      </w:tr>
      <w:tr>
        <w:tc>
          <w:tcPr>
            <w:tcW w:type="dxa" w:w="5800"/>
            <w:tcMar>
              <w:top w:type="dxa" w:w="80"/>
              <w:left w:type="dxa" w:w="100"/>
              <w:bottom w:type="dxa" w:w="80"/>
              <w:right w:type="dxa" w:w="100"/>
            </w:tcMar>
          </w:tcPr>
          <w:p>
            <w:r>
              <w:rPr>
                <w:rFonts w:ascii="Calibri" w:cs="Calibri" w:eastAsia="Calibri" w:hAnsi="Calibri"/>
                <w:sz w:val="20"/>
                <w:szCs w:val="20"/>
              </w:rPr>
              <w:t xml:space="preserve">Source Code Aplikasi (iOS, SwiftUI/MVVM)</w:t>
            </w:r>
          </w:p>
        </w:tc>
        <w:tc>
          <w:tcPr>
            <w:tcW w:type="dxa" w:w="3700"/>
            <w:tcMar>
              <w:top w:type="dxa" w:w="80"/>
              <w:left w:type="dxa" w:w="100"/>
              <w:bottom w:type="dxa" w:w="80"/>
              <w:right w:type="dxa" w:w="100"/>
            </w:tcMar>
          </w:tcPr>
          <w:p>
            <w:r>
              <w:rPr>
                <w:rFonts w:ascii="Calibri" w:cs="Calibri" w:eastAsia="Calibri" w:hAnsi="Calibri"/>
                <w:sz w:val="20"/>
                <w:szCs w:val="20"/>
              </w:rPr>
              <w:t xml:space="preserve">IOTN-AC App/Sources/</w:t>
            </w:r>
          </w:p>
        </w:tc>
      </w:tr>
      <w:tr>
        <w:tc>
          <w:tcPr>
            <w:tcW w:type="dxa" w:w="5800"/>
            <w:tcMar>
              <w:top w:type="dxa" w:w="80"/>
              <w:left w:type="dxa" w:w="100"/>
              <w:bottom w:type="dxa" w:w="80"/>
              <w:right w:type="dxa" w:w="100"/>
            </w:tcMar>
          </w:tcPr>
          <w:p>
            <w:r>
              <w:rPr>
                <w:rFonts w:ascii="Calibri" w:cs="Calibri" w:eastAsia="Calibri" w:hAnsi="Calibri"/>
                <w:sz w:val="20"/>
                <w:szCs w:val="20"/>
              </w:rPr>
              <w:t xml:space="preserve">Lisensi</w:t>
            </w:r>
          </w:p>
        </w:tc>
        <w:tc>
          <w:tcPr>
            <w:tcW w:type="dxa" w:w="3700"/>
            <w:tcMar>
              <w:top w:type="dxa" w:w="80"/>
              <w:left w:type="dxa" w:w="100"/>
              <w:bottom w:type="dxa" w:w="80"/>
              <w:right w:type="dxa" w:w="100"/>
            </w:tcMar>
          </w:tcPr>
          <w:p>
            <w:r>
              <w:rPr>
                <w:rFonts w:ascii="Calibri" w:cs="Calibri" w:eastAsia="Calibri" w:hAnsi="Calibri"/>
                <w:sz w:val="20"/>
                <w:szCs w:val="20"/>
              </w:rPr>
              <w:t xml:space="preserve">Link ke lokasi artefak, isi</w:t>
            </w:r>
          </w:p>
        </w:tc>
      </w:tr>
      <w:tr>
        <w:tc>
          <w:tcPr>
            <w:tcW w:type="dxa" w:w="5800"/>
            <w:tcMar>
              <w:top w:type="dxa" w:w="80"/>
              <w:left w:type="dxa" w:w="100"/>
              <w:bottom w:type="dxa" w:w="80"/>
              <w:right w:type="dxa" w:w="100"/>
            </w:tcMar>
          </w:tcPr>
          <w:p>
            <w:r>
              <w:rPr>
                <w:rFonts w:ascii="Calibri" w:cs="Calibri" w:eastAsia="Calibri" w:hAnsi="Calibri"/>
                <w:sz w:val="20"/>
                <w:szCs w:val="20"/>
              </w:rPr>
              <w:t xml:space="preserve">Kepemilikan Akses</w:t>
            </w:r>
          </w:p>
        </w:tc>
        <w:tc>
          <w:tcPr>
            <w:tcW w:type="dxa" w:w="3700"/>
            <w:tcMar>
              <w:top w:type="dxa" w:w="80"/>
              <w:left w:type="dxa" w:w="100"/>
              <w:bottom w:type="dxa" w:w="80"/>
              <w:right w:type="dxa" w:w="100"/>
            </w:tcMar>
          </w:tcPr>
          <w:p>
            <w:r>
              <w:rPr>
                <w:rFonts w:ascii="Calibri" w:cs="Calibri" w:eastAsia="Calibri" w:hAnsi="Calibri"/>
                <w:sz w:val="20"/>
                <w:szCs w:val="20"/>
              </w:rPr>
              <w:t xml:space="preserve">Link ke lokasi artefak, isi</w:t>
            </w:r>
          </w:p>
        </w:tc>
      </w:tr>
    </w:tbl>
    <w:p>
      <w:r>
        <w:br w:type="page"/>
      </w:r>
    </w:p>
    <w:p>
      <w:pPr>
        <w:pStyle w:val="Title"/>
        <w:spacing w:after="200"/>
      </w:pPr>
      <w:r>
        <w:t xml:space="preserve">Ringkasan Eksekutif</w:t>
      </w:r>
    </w:p>
    <w:p>
      <w:pPr>
        <w:spacing w:after="140"/>
      </w:pPr>
      <w:r>
        <w:rPr>
          <w:rFonts w:ascii="Calibri" w:cs="Calibri" w:eastAsia="Calibri" w:hAnsi="Calibri"/>
          <w:sz w:val="22"/>
          <w:szCs w:val="22"/>
        </w:rPr>
        <w:t xml:space="preserve">Modul ini memprediksi IOTN Aesthetic Component (AC), yaitu skor ordinal 1 sampai 10 yang menggambarkan seberapa jauh tampilan gigi pasien dari sudut frontal menyimpang dari susunan gigi yang dinilai paling menarik secara estetis (Evans &amp; Shaw, 1987), langsung dari satu foto intraoral frontal. Masalahnya, penilaian AC secara konvensional dilakukan klinisi dengan membandingkan foto pasien terhadap 10 foto referensi standar (Brook &amp; Shaw, 1989), proses yang bersifat subjektif dan membutuhkan pelatihan klinis. Solusinya, model regresi ResNet-18 dilatih dari foto berlabel independen oleh tiga annotator, lalu di-deploy langsung di perangkat (on-device) lewat Core ML di dalam aplikasi iOS.</w:t>
      </w:r>
    </w:p>
    <w:p>
      <w:pPr>
        <w:spacing w:after="140"/>
      </w:pPr>
      <w:r>
        <w:rPr>
          <w:rFonts w:ascii="Calibri" w:cs="Calibri" w:eastAsia="Calibri" w:hAnsi="Calibri"/>
          <w:sz w:val="22"/>
          <w:szCs w:val="22"/>
        </w:rPr>
        <w:t xml:space="preserve">Model final mencapai Quadratic Weighted Kappa (QWK) out-of-fold 0,838 (MAE 0,962, akurasi dalam rentang satu grade 79,1%), dibandingkan batas atas kesepakatan antar-annotator (human ceiling) QWK 0,918.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6FA86F" w:sz="4"/>
              <w:left w:val="single" w:color="3F8F3F" w:sz="12"/>
              <w:bottom w:val="single" w:color="6FA86F" w:sz="4"/>
              <w:right w:val="single" w:color="6FA86F" w:sz="4"/>
            </w:tcBorders>
            <w:shd w:fill="EEF5EC" w:val="clear"/>
            <w:tcMar>
              <w:top w:type="dxa" w:w="120"/>
              <w:left w:type="dxa" w:w="160"/>
              <w:bottom w:type="dxa" w:w="120"/>
              <w:right w:type="dxa" w:w="160"/>
            </w:tcMar>
          </w:tcPr>
          <w:p>
            <w:pPr>
              <w:spacing w:after="40"/>
            </w:pPr>
            <w:r>
              <w:rPr>
                <w:rFonts w:ascii="Calibri" w:cs="Calibri" w:eastAsia="Calibri" w:hAnsi="Calibri"/>
                <w:b/>
                <w:bCs/>
                <w:color w:val="2E6B2E"/>
                <w:sz w:val="20"/>
                <w:szCs w:val="20"/>
              </w:rPr>
              <w:t xml:space="preserve">Dalam bahasa sederhana</w:t>
            </w:r>
          </w:p>
          <w:p>
            <w:r>
              <w:rPr>
                <w:rFonts w:ascii="Calibri" w:cs="Calibri" w:eastAsia="Calibri" w:hAnsi="Calibri"/>
                <w:color w:val="1F4A1F"/>
                <w:sz w:val="21"/>
                <w:szCs w:val="21"/>
              </w:rPr>
              <w:t xml:space="preserve">Model ini sudah cukup andal untuk membantu triase awal. Dari 100 foto yang dinilai, sekitar 79 di antaranya mendapat skor yang persis sama atau hanya berbeda satu tingkat dari yang seharusnya, selisih yang secara klinis masih dianggap wajar karena bahkan dokter yang berbeda pun bisa berbeda pendapat sejauh itu. Lebih penting lagi, performa model ini sudah mendekati batas kesepakatan yang dicapai oleh tiga annotator manusia sendiri ketika menilai foto yang sama. Artinya, model tidak jauh tertinggal dari variasi penilaian yang wajar terjadi antar-dokter.</w:t>
            </w:r>
          </w:p>
        </w:tc>
      </w:tr>
    </w:tbl>
    <w:p>
      <w:pPr>
        <w:spacing w:after="140"/>
      </w:pPr>
      <w:r>
        <w:rPr>
          <w:rFonts w:ascii="Calibri" w:cs="Calibri" w:eastAsia="Calibri" w:hAnsi="Calibri"/>
          <w:sz w:val="22"/>
          <w:szCs w:val="22"/>
        </w:rPr>
        <w:t xml:space="preserve">Aplikasi yang di-deploy menerima foto frontal utuh, otomatis menolak foto yang di luar cakupan model, dan mengembalikan skor AC terkalibrasi beserta confidence dan deskripsi tingkat keparahan dalam bahasa yang mudah dipahami.</w:t>
      </w:r>
    </w:p>
    <w:p>
      <w:pPr>
        <w:pStyle w:val="Title"/>
        <w:spacing w:after="200"/>
      </w:pPr>
      <w:r>
        <w:t xml:space="preserve">Gambaran Proyek</w:t>
      </w:r>
    </w:p>
    <w:p>
      <w:pPr>
        <w:pStyle w:val="Heading1"/>
        <w:spacing w:after="140" w:before="320"/>
      </w:pPr>
      <w:r>
        <w:t xml:space="preserve">Rumusan Masalah</w:t>
      </w:r>
    </w:p>
    <w:p>
      <w:pPr>
        <w:spacing w:after="140"/>
      </w:pPr>
      <w:r>
        <w:rPr>
          <w:rFonts w:ascii="Calibri" w:cs="Calibri" w:eastAsia="Calibri" w:hAnsi="Calibri"/>
          <w:sz w:val="22"/>
          <w:szCs w:val="22"/>
        </w:rPr>
        <w:t xml:space="preserve">IOTN pertama kali dikembangkan oleh Brook &amp; Shaw (1989) di Wales, Inggris, sebagai indeks untuk memprioritaskan kebutuhan perawatan ortodontik berdasarkan signifikansi klinis dan estetis suatu maloklusi. IOTN terdiri dari dua komponen, yaitu Dental Health Component (DHC, skala 5 grade berbasis kondisi klinis objektif) dan Aesthetic Component (AC, skala 10 grade berbasis foto referensi). Komponen AC diadaptasi dari Standardised Continuum of Aesthetic Need dan dikembangkan oleh Evans &amp; Shaw (1987). Sepuluh foto gigi dengan tingkat daya tarik berbeda dinilai oleh panel penilai non-dokter-gigi pada skala linear 1 (paling menarik) hingga 10 (paling tidak menarik).</w:t>
      </w:r>
    </w:p>
    <w:p>
      <w:pPr>
        <w:spacing w:after="140"/>
      </w:pPr>
      <w:r>
        <w:rPr>
          <w:rFonts w:ascii="Calibri" w:cs="Calibri" w:eastAsia="Calibri" w:hAnsi="Calibri"/>
          <w:sz w:val="22"/>
          <w:szCs w:val="22"/>
        </w:rPr>
        <w:t xml:space="preserve">Secara konvensional, klinisi menilai AC dengan membandingkan foto pasien secara visual terhadap 10 foto referensi tersebut untuk menentukan grade yang paling mirip, proses yang memakan waktu, bergantung pada pelatihan penilai, dan berpotensi bervariasi antar-klinisi.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6FA86F" w:sz="4"/>
              <w:left w:val="single" w:color="3F8F3F" w:sz="12"/>
              <w:bottom w:val="single" w:color="6FA86F" w:sz="4"/>
              <w:right w:val="single" w:color="6FA86F" w:sz="4"/>
            </w:tcBorders>
            <w:shd w:fill="EEF5EC" w:val="clear"/>
            <w:tcMar>
              <w:top w:type="dxa" w:w="120"/>
              <w:left w:type="dxa" w:w="160"/>
              <w:bottom w:type="dxa" w:w="120"/>
              <w:right w:type="dxa" w:w="160"/>
            </w:tcMar>
          </w:tcPr>
          <w:p>
            <w:pPr>
              <w:spacing w:after="40"/>
            </w:pPr>
            <w:r>
              <w:rPr>
                <w:rFonts w:ascii="Calibri" w:cs="Calibri" w:eastAsia="Calibri" w:hAnsi="Calibri"/>
                <w:b/>
                <w:bCs/>
                <w:color w:val="2E6B2E"/>
                <w:sz w:val="20"/>
                <w:szCs w:val="20"/>
              </w:rPr>
              <w:t xml:space="preserve">Dalam bahasa sederhana</w:t>
            </w:r>
          </w:p>
          <w:p>
            <w:r>
              <w:rPr>
                <w:rFonts w:ascii="Calibri" w:cs="Calibri" w:eastAsia="Calibri" w:hAnsi="Calibri"/>
                <w:color w:val="1F4A1F"/>
                <w:sz w:val="21"/>
                <w:szCs w:val="21"/>
              </w:rPr>
              <w:t xml:space="preserve">Bayangkan setiap kali menilai gigi pasien, dokter harus membuka album berisi 10 foto contoh lalu membandingkan satu per satu untuk mencari yang paling mirip. Cara ini masuk akal secara klinis, tetapi memakan waktu dan hasilnya bisa sedikit berbeda tergantung siapa yang menilai. Tujuan modul ini adalah membuat proses pembandingan itu berjalan otomatis dan konsisten, sekaligus tetap jujur mengakui ketika sebuah foto tidak bisa dinilai dengan percaya diri, alih-alih memaksakan sebuah angka.</w:t>
            </w:r>
          </w:p>
        </w:tc>
      </w:tr>
    </w:tbl>
    <w:p>
      <w:pPr>
        <w:pStyle w:val="Heading1"/>
        <w:spacing w:after="140" w:before="320"/>
      </w:pPr>
      <w:r>
        <w:t xml:space="preserve">Solusi</w:t>
      </w:r>
    </w:p>
    <w:p>
      <w:pPr>
        <w:pStyle w:val="ListParagraph"/>
        <w:numPr>
          <w:ilvl w:val="0"/>
          <w:numId w:val="2"/>
        </w:numPr>
        <w:spacing w:after="60"/>
      </w:pPr>
      <w:r>
        <w:rPr>
          <w:rFonts w:ascii="Calibri" w:cs="Calibri" w:eastAsia="Calibri" w:hAnsi="Calibri"/>
          <w:sz w:val="22"/>
          <w:szCs w:val="22"/>
        </w:rPr>
        <w:t xml:space="preserve">Mengumpulkan label AC (1 sampai 10) dari 3 annotator independen pada dataset foto OMNI front-teeth, dan menggunakan rata-rata (mean) dari tiga penilaian sebagai target training. Metode konsensus ini terbukti memberi performa terbaik dibanding median, majority-vote, atau soft-label yang diuji.</w:t>
      </w:r>
    </w:p>
    <w:p>
      <w:pPr>
        <w:pStyle w:val="ListParagraph"/>
        <w:numPr>
          <w:ilvl w:val="0"/>
          <w:numId w:val="2"/>
        </w:numPr>
        <w:spacing w:after="60"/>
      </w:pPr>
      <w:r>
        <w:rPr>
          <w:rFonts w:ascii="Calibri" w:cs="Calibri" w:eastAsia="Calibri" w:hAnsi="Calibri"/>
          <w:sz w:val="22"/>
          <w:szCs w:val="22"/>
        </w:rPr>
        <w:t xml:space="preserve">Membandingkan beberapa arsitektur model pada tahap eksplorasi awal untuk menentukan pendekatan mana yang paling layak dikembangkan lebih lanjut (dijelaskan pada bagian Alur Eksperimen).</w:t>
      </w:r>
    </w:p>
    <w:p>
      <w:pPr>
        <w:pStyle w:val="ListParagraph"/>
        <w:numPr>
          <w:ilvl w:val="0"/>
          <w:numId w:val="2"/>
        </w:numPr>
        <w:spacing w:after="60"/>
      </w:pPr>
      <w:r>
        <w:rPr>
          <w:rFonts w:ascii="Calibri" w:cs="Calibri" w:eastAsia="Calibri" w:hAnsi="Calibri"/>
          <w:sz w:val="22"/>
          <w:szCs w:val="22"/>
        </w:rPr>
        <w:t xml:space="preserve">Melatih ulang arsitektur terpilih pada dataset 3-annotator, dengan 5-fold cross-validation untuk estimasi performa yang stabil, serta ensembling dan test-time augmentation (TTA) untuk memaksimalkan hasil dari data yang terbatas.</w:t>
      </w:r>
    </w:p>
    <w:p>
      <w:pPr>
        <w:pStyle w:val="ListParagraph"/>
        <w:numPr>
          <w:ilvl w:val="0"/>
          <w:numId w:val="2"/>
        </w:numPr>
        <w:spacing w:after="60"/>
      </w:pPr>
      <w:r>
        <w:rPr>
          <w:rFonts w:ascii="Calibri" w:cs="Calibri" w:eastAsia="Calibri" w:hAnsi="Calibri"/>
          <w:sz w:val="22"/>
          <w:szCs w:val="22"/>
        </w:rPr>
        <w:t xml:space="preserve">Mendiagnosis model dengan confusion matrix dan kurva train-vs-validation untuk membedakan masalah overfitting dari keterbatasan data secara fundamental.</w:t>
      </w:r>
    </w:p>
    <w:p>
      <w:pPr>
        <w:pStyle w:val="ListParagraph"/>
        <w:numPr>
          <w:ilvl w:val="0"/>
          <w:numId w:val="2"/>
        </w:numPr>
        <w:spacing w:after="60"/>
      </w:pPr>
      <w:r>
        <w:rPr>
          <w:rFonts w:ascii="Calibri" w:cs="Calibri" w:eastAsia="Calibri" w:hAnsi="Calibri"/>
          <w:sz w:val="22"/>
          <w:szCs w:val="22"/>
        </w:rPr>
        <w:t xml:space="preserve">Men-deploy model final ke iOS lewat Core ML dengan mekanisme penolakan otomatis untuk foto di luar cakupan model dan kalibrasi skor.</w:t>
      </w:r>
    </w:p>
    <w:p>
      <w:pPr>
        <w:pStyle w:val="Heading1"/>
        <w:spacing w:after="140" w:before="320"/>
      </w:pPr>
      <w:r>
        <w:t xml:space="preserve">Hasil</w:t>
      </w:r>
    </w:p>
    <w:p>
      <w:pPr>
        <w:spacing w:after="140"/>
      </w:pPr>
      <w:r>
        <w:rPr>
          <w:rFonts w:ascii="Calibri" w:cs="Calibri" w:eastAsia="Calibri" w:hAnsi="Calibri"/>
          <w:sz w:val="22"/>
          <w:szCs w:val="22"/>
        </w:rPr>
        <w:t xml:space="preserve">Aplikasi menerima foto intraoral frontal, memprosesnya lewat model AC langsung di perangkat, dan menampilkan skor IOTN-AC (1 sampai 10), confidence dalam bahasa sederhana, deskripsi tingkat keparahan klinis, serta penolakan otomatis untuk foto yang tidak valid.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6FA86F" w:sz="4"/>
              <w:left w:val="single" w:color="3F8F3F" w:sz="12"/>
              <w:bottom w:val="single" w:color="6FA86F" w:sz="4"/>
              <w:right w:val="single" w:color="6FA86F" w:sz="4"/>
            </w:tcBorders>
            <w:shd w:fill="EEF5EC" w:val="clear"/>
            <w:tcMar>
              <w:top w:type="dxa" w:w="120"/>
              <w:left w:type="dxa" w:w="160"/>
              <w:bottom w:type="dxa" w:w="120"/>
              <w:right w:type="dxa" w:w="160"/>
            </w:tcMar>
          </w:tcPr>
          <w:p>
            <w:pPr>
              <w:spacing w:after="40"/>
            </w:pPr>
            <w:r>
              <w:rPr>
                <w:rFonts w:ascii="Calibri" w:cs="Calibri" w:eastAsia="Calibri" w:hAnsi="Calibri"/>
                <w:b/>
                <w:bCs/>
                <w:color w:val="2E6B2E"/>
                <w:sz w:val="20"/>
                <w:szCs w:val="20"/>
              </w:rPr>
              <w:t xml:space="preserve">Dalam bahasa sederhana</w:t>
            </w:r>
          </w:p>
          <w:p>
            <w:r>
              <w:rPr>
                <w:rFonts w:ascii="Calibri" w:cs="Calibri" w:eastAsia="Calibri" w:hAnsi="Calibri"/>
                <w:color w:val="1F4A1F"/>
                <w:sz w:val="21"/>
                <w:szCs w:val="21"/>
              </w:rPr>
              <w:t xml:space="preserve">Tampilan hasil sengaja dibuat sesederhana mungkin, hanya satu skor dan satu angka keyakinan, setelah masukan dari stakeholder bahwa menampilkan rincian probabilitas untuk semua 10 kemungkinan grade justru terkesan model tidak yakin dan mengurangi kepercayaan klinisi terhadap hasilnya.</w:t>
            </w:r>
          </w:p>
        </w:tc>
      </w:tr>
    </w:tbl>
    <w:p>
      <w:r>
        <w:br w:type="page"/>
      </w:r>
    </w:p>
    <w:p>
      <w:pPr>
        <w:pStyle w:val="Title"/>
        <w:spacing w:after="200"/>
      </w:pPr>
      <w:r>
        <w:t xml:space="preserve">AI/ML Solution Technical Overview</w:t>
      </w:r>
    </w:p>
    <w:p>
      <w:pPr>
        <w:pStyle w:val="Heading1"/>
        <w:spacing w:after="140" w:before="320"/>
      </w:pPr>
      <w:r>
        <w:t xml:space="preserve">Alur Eksperimen: Bagaimana Model Final Terpilih</w:t>
      </w:r>
    </w:p>
    <w:p>
      <w:pPr>
        <w:spacing w:after="140"/>
      </w:pPr>
      <w:r>
        <w:rPr>
          <w:rFonts w:ascii="Calibri" w:cs="Calibri" w:eastAsia="Calibri" w:hAnsi="Calibri"/>
          <w:sz w:val="22"/>
          <w:szCs w:val="22"/>
        </w:rPr>
        <w:t xml:space="preserve">Notebook yang dibahas di bagian ini dibatasi hanya pada yang benar-benar relevan dengan model final, yaitu notebook yang menjadi dasar perbandingan arsitektur dan pengambilan keputusan, serta notebook produksi yang menghasilkan model yang sekarang berjalan di aplikasi.</w:t>
      </w:r>
    </w:p>
    <w:p>
      <w:pPr>
        <w:pStyle w:val="Heading2"/>
        <w:spacing w:after="100" w:before="220"/>
      </w:pPr>
      <w:r>
        <w:t xml:space="preserve">Tahap 1. Perbandingan arsitektur (notebook 01 sampai 05)</w:t>
      </w:r>
    </w:p>
    <w:p>
      <w:pPr>
        <w:spacing w:after="140"/>
      </w:pPr>
      <w:r>
        <w:rPr>
          <w:rFonts w:ascii="Calibri" w:cs="Calibri" w:eastAsia="Calibri" w:hAnsi="Calibri"/>
          <w:sz w:val="22"/>
          <w:szCs w:val="22"/>
        </w:rPr>
        <w:t xml:space="preserve">Pada tahap ini, empat pendekatan arsitektur dibandingkan pada tugas dan data yang sama untuk menentukan pendekatan mana yang layak dikembangkan lebih lanjut. Perlu dicatat, kelima notebook ini masih memakai dataset awal single-label (satu skor per foto, dari file “new ac report.xlsx”), bukan dataset final 3-annotator yang dipakai model produksi.</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700"/>
        <w:gridCol w:w="3400"/>
        <w:gridCol w:w="3800"/>
      </w:tblGrid>
      <w:tr>
        <w:trPr>
          <w:tblHeader/>
        </w:trPr>
        <w:tc>
          <w:tcPr>
            <w:tcW w:type="dxa" w:w="27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Notebook</w:t>
            </w:r>
          </w:p>
        </w:tc>
        <w:tc>
          <w:tcPr>
            <w:tcW w:type="dxa" w:w="34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Arsitektur</w:t>
            </w:r>
          </w:p>
        </w:tc>
        <w:tc>
          <w:tcPr>
            <w:tcW w:type="dxa" w:w="38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Hasil dan alasan keputusan</w:t>
            </w:r>
          </w:p>
        </w:tc>
      </w:tr>
      <w:tr>
        <w:tc>
          <w:tcPr>
            <w:tcW w:type="dxa" w:w="2700"/>
            <w:tcMar>
              <w:top w:type="dxa" w:w="80"/>
              <w:left w:type="dxa" w:w="100"/>
              <w:bottom w:type="dxa" w:w="80"/>
              <w:right w:type="dxa" w:w="100"/>
            </w:tcMar>
          </w:tcPr>
          <w:p>
            <w:r>
              <w:rPr>
                <w:rFonts w:ascii="Calibri" w:cs="Calibri" w:eastAsia="Calibri" w:hAnsi="Calibri"/>
                <w:sz w:val="20"/>
                <w:szCs w:val="20"/>
              </w:rPr>
              <w:t xml:space="preserve">01_ac_pipeline.ipynb</w:t>
            </w:r>
          </w:p>
        </w:tc>
        <w:tc>
          <w:tcPr>
            <w:tcW w:type="dxa" w:w="3400"/>
            <w:tcMar>
              <w:top w:type="dxa" w:w="80"/>
              <w:left w:type="dxa" w:w="100"/>
              <w:bottom w:type="dxa" w:w="80"/>
              <w:right w:type="dxa" w:w="100"/>
            </w:tcMar>
          </w:tcPr>
          <w:p>
            <w:r>
              <w:rPr>
                <w:rFonts w:ascii="Calibri" w:cs="Calibri" w:eastAsia="Calibri" w:hAnsi="Calibri"/>
                <w:sz w:val="20"/>
                <w:szCs w:val="20"/>
              </w:rPr>
              <w:t xml:space="preserve">ResNet18 transfer learning, head regresi MSE</w:t>
            </w:r>
          </w:p>
        </w:tc>
        <w:tc>
          <w:tcPr>
            <w:tcW w:type="dxa" w:w="3800"/>
            <w:tcMar>
              <w:top w:type="dxa" w:w="80"/>
              <w:left w:type="dxa" w:w="100"/>
              <w:bottom w:type="dxa" w:w="80"/>
              <w:right w:type="dxa" w:w="100"/>
            </w:tcMar>
          </w:tcPr>
          <w:p>
            <w:r>
              <w:rPr>
                <w:rFonts w:ascii="Calibri" w:cs="Calibri" w:eastAsia="Calibri" w:hAnsi="Calibri"/>
                <w:sz w:val="20"/>
                <w:szCs w:val="20"/>
              </w:rPr>
              <w:t xml:space="preserve">Baseline terbaik. Dipilih sebagai fondasi arsitektur untuk dikembangkan lebih lanjut.</w:t>
            </w:r>
          </w:p>
        </w:tc>
      </w:tr>
      <w:tr>
        <w:tc>
          <w:tcPr>
            <w:tcW w:type="dxa" w:w="2700"/>
            <w:tcMar>
              <w:top w:type="dxa" w:w="80"/>
              <w:left w:type="dxa" w:w="100"/>
              <w:bottom w:type="dxa" w:w="80"/>
              <w:right w:type="dxa" w:w="100"/>
            </w:tcMar>
          </w:tcPr>
          <w:p>
            <w:r>
              <w:rPr>
                <w:rFonts w:ascii="Calibri" w:cs="Calibri" w:eastAsia="Calibri" w:hAnsi="Calibri"/>
                <w:sz w:val="20"/>
                <w:szCs w:val="20"/>
              </w:rPr>
              <w:t xml:space="preserve">02_ac_pipeline_corn.ipynb</w:t>
            </w:r>
          </w:p>
        </w:tc>
        <w:tc>
          <w:tcPr>
            <w:tcW w:type="dxa" w:w="3400"/>
            <w:tcMar>
              <w:top w:type="dxa" w:w="80"/>
              <w:left w:type="dxa" w:w="100"/>
              <w:bottom w:type="dxa" w:w="80"/>
              <w:right w:type="dxa" w:w="100"/>
            </w:tcMar>
          </w:tcPr>
          <w:p>
            <w:r>
              <w:rPr>
                <w:rFonts w:ascii="Calibri" w:cs="Calibri" w:eastAsia="Calibri" w:hAnsi="Calibri"/>
                <w:sz w:val="20"/>
                <w:szCs w:val="20"/>
              </w:rPr>
              <w:t xml:space="preserve">CORN ordinal regression pada backbone ResNet18</w:t>
            </w:r>
          </w:p>
        </w:tc>
        <w:tc>
          <w:tcPr>
            <w:tcW w:type="dxa" w:w="3800"/>
            <w:tcMar>
              <w:top w:type="dxa" w:w="80"/>
              <w:left w:type="dxa" w:w="100"/>
              <w:bottom w:type="dxa" w:w="80"/>
              <w:right w:type="dxa" w:w="100"/>
            </w:tcMar>
          </w:tcPr>
          <w:p>
            <w:r>
              <w:rPr>
                <w:rFonts w:ascii="Calibri" w:cs="Calibri" w:eastAsia="Calibri" w:hAnsi="Calibri"/>
                <w:sz w:val="20"/>
                <w:szCs w:val="20"/>
              </w:rPr>
              <w:t xml:space="preserve">Tidak mengungguli baseline regresi biasa pada dataset ini, meski secara teori cocok untuk data ordinal.</w:t>
            </w:r>
          </w:p>
        </w:tc>
      </w:tr>
      <w:tr>
        <w:tc>
          <w:tcPr>
            <w:tcW w:type="dxa" w:w="2700"/>
            <w:tcMar>
              <w:top w:type="dxa" w:w="80"/>
              <w:left w:type="dxa" w:w="100"/>
              <w:bottom w:type="dxa" w:w="80"/>
              <w:right w:type="dxa" w:w="100"/>
            </w:tcMar>
          </w:tcPr>
          <w:p>
            <w:r>
              <w:rPr>
                <w:rFonts w:ascii="Calibri" w:cs="Calibri" w:eastAsia="Calibri" w:hAnsi="Calibri"/>
                <w:sz w:val="20"/>
                <w:szCs w:val="20"/>
              </w:rPr>
              <w:t xml:space="preserve">03_lightweight_cnn.ipynb</w:t>
            </w:r>
          </w:p>
        </w:tc>
        <w:tc>
          <w:tcPr>
            <w:tcW w:type="dxa" w:w="3400"/>
            <w:tcMar>
              <w:top w:type="dxa" w:w="80"/>
              <w:left w:type="dxa" w:w="100"/>
              <w:bottom w:type="dxa" w:w="80"/>
              <w:right w:type="dxa" w:w="100"/>
            </w:tcMar>
          </w:tcPr>
          <w:p>
            <w:r>
              <w:rPr>
                <w:rFonts w:ascii="Calibri" w:cs="Calibri" w:eastAsia="Calibri" w:hAnsi="Calibri"/>
                <w:sz w:val="20"/>
                <w:szCs w:val="20"/>
              </w:rPr>
              <w:t xml:space="preserve">Custom CNN, dilatih dari awal tanpa pretraining</w:t>
            </w:r>
          </w:p>
        </w:tc>
        <w:tc>
          <w:tcPr>
            <w:tcW w:type="dxa" w:w="3800"/>
            <w:tcMar>
              <w:top w:type="dxa" w:w="80"/>
              <w:left w:type="dxa" w:w="100"/>
              <w:bottom w:type="dxa" w:w="80"/>
              <w:right w:type="dxa" w:w="100"/>
            </w:tcMar>
          </w:tcPr>
          <w:p>
            <w:r>
              <w:rPr>
                <w:rFonts w:ascii="Calibri" w:cs="Calibri" w:eastAsia="Calibri" w:hAnsi="Calibri"/>
                <w:sz w:val="20"/>
                <w:szCs w:val="20"/>
              </w:rPr>
              <w:t xml:space="preserve">Kalah jauh dari transfer learning. Dataset terlalu kecil untuk dilatih dari nol tanpa bobot awal yang sudah belajar dari jutaan gambar lain.</w:t>
            </w:r>
          </w:p>
        </w:tc>
      </w:tr>
      <w:tr>
        <w:tc>
          <w:tcPr>
            <w:tcW w:type="dxa" w:w="2700"/>
            <w:tcMar>
              <w:top w:type="dxa" w:w="80"/>
              <w:left w:type="dxa" w:w="100"/>
              <w:bottom w:type="dxa" w:w="80"/>
              <w:right w:type="dxa" w:w="100"/>
            </w:tcMar>
          </w:tcPr>
          <w:p>
            <w:r>
              <w:rPr>
                <w:rFonts w:ascii="Calibri" w:cs="Calibri" w:eastAsia="Calibri" w:hAnsi="Calibri"/>
                <w:sz w:val="20"/>
                <w:szCs w:val="20"/>
              </w:rPr>
              <w:t xml:space="preserve">04_mini_resnet.ipynb</w:t>
            </w:r>
          </w:p>
        </w:tc>
        <w:tc>
          <w:tcPr>
            <w:tcW w:type="dxa" w:w="3400"/>
            <w:tcMar>
              <w:top w:type="dxa" w:w="80"/>
              <w:left w:type="dxa" w:w="100"/>
              <w:bottom w:type="dxa" w:w="80"/>
              <w:right w:type="dxa" w:w="100"/>
            </w:tcMar>
          </w:tcPr>
          <w:p>
            <w:r>
              <w:rPr>
                <w:rFonts w:ascii="Calibri" w:cs="Calibri" w:eastAsia="Calibri" w:hAnsi="Calibri"/>
                <w:sz w:val="20"/>
                <w:szCs w:val="20"/>
              </w:rPr>
              <w:t xml:space="preserve">Mini-ResNet, dilatih dari awal</w:t>
            </w:r>
          </w:p>
        </w:tc>
        <w:tc>
          <w:tcPr>
            <w:tcW w:type="dxa" w:w="3800"/>
            <w:tcMar>
              <w:top w:type="dxa" w:w="80"/>
              <w:left w:type="dxa" w:w="100"/>
              <w:bottom w:type="dxa" w:w="80"/>
              <w:right w:type="dxa" w:w="100"/>
            </w:tcMar>
          </w:tcPr>
          <w:p>
            <w:r>
              <w:rPr>
                <w:rFonts w:ascii="Calibri" w:cs="Calibri" w:eastAsia="Calibri" w:hAnsi="Calibri"/>
                <w:sz w:val="20"/>
                <w:szCs w:val="20"/>
              </w:rPr>
              <w:t xml:space="preserve">Hasil serupa nomor 3, kalah dari transfer learning karena keterbatasan data yang sama.</w:t>
            </w:r>
          </w:p>
        </w:tc>
      </w:tr>
      <w:tr>
        <w:tc>
          <w:tcPr>
            <w:tcW w:type="dxa" w:w="2700"/>
            <w:tcMar>
              <w:top w:type="dxa" w:w="80"/>
              <w:left w:type="dxa" w:w="100"/>
              <w:bottom w:type="dxa" w:w="80"/>
              <w:right w:type="dxa" w:w="100"/>
            </w:tcMar>
          </w:tcPr>
          <w:p>
            <w:r>
              <w:rPr>
                <w:rFonts w:ascii="Calibri" w:cs="Calibri" w:eastAsia="Calibri" w:hAnsi="Calibri"/>
                <w:sz w:val="20"/>
                <w:szCs w:val="20"/>
              </w:rPr>
              <w:t xml:space="preserve">05_transfer_custom_head.ipynb</w:t>
            </w:r>
          </w:p>
        </w:tc>
        <w:tc>
          <w:tcPr>
            <w:tcW w:type="dxa" w:w="3400"/>
            <w:tcMar>
              <w:top w:type="dxa" w:w="80"/>
              <w:left w:type="dxa" w:w="100"/>
              <w:bottom w:type="dxa" w:w="80"/>
              <w:right w:type="dxa" w:w="100"/>
            </w:tcMar>
          </w:tcPr>
          <w:p>
            <w:r>
              <w:rPr>
                <w:rFonts w:ascii="Calibri" w:cs="Calibri" w:eastAsia="Calibri" w:hAnsi="Calibri"/>
                <w:sz w:val="20"/>
                <w:szCs w:val="20"/>
              </w:rPr>
              <w:t xml:space="preserve">Backbone MobileNet/EfficientNet dengan head custom</w:t>
            </w:r>
          </w:p>
        </w:tc>
        <w:tc>
          <w:tcPr>
            <w:tcW w:type="dxa" w:w="3800"/>
            <w:tcMar>
              <w:top w:type="dxa" w:w="80"/>
              <w:left w:type="dxa" w:w="100"/>
              <w:bottom w:type="dxa" w:w="80"/>
              <w:right w:type="dxa" w:w="100"/>
            </w:tcMar>
          </w:tcPr>
          <w:p>
            <w:r>
              <w:rPr>
                <w:rFonts w:ascii="Calibri" w:cs="Calibri" w:eastAsia="Calibri" w:hAnsi="Calibri"/>
                <w:sz w:val="20"/>
                <w:szCs w:val="20"/>
              </w:rPr>
              <w:t xml:space="preserve">Kompetitif namun tidak mengungguli ResNet18 baseline.</w:t>
            </w:r>
          </w:p>
        </w:tc>
      </w:tr>
    </w:tbl>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6FA86F" w:sz="4"/>
              <w:left w:val="single" w:color="3F8F3F" w:sz="12"/>
              <w:bottom w:val="single" w:color="6FA86F" w:sz="4"/>
              <w:right w:val="single" w:color="6FA86F" w:sz="4"/>
            </w:tcBorders>
            <w:shd w:fill="EEF5EC" w:val="clear"/>
            <w:tcMar>
              <w:top w:type="dxa" w:w="120"/>
              <w:left w:type="dxa" w:w="160"/>
              <w:bottom w:type="dxa" w:w="120"/>
              <w:right w:type="dxa" w:w="160"/>
            </w:tcMar>
          </w:tcPr>
          <w:p>
            <w:pPr>
              <w:spacing w:after="40"/>
            </w:pPr>
            <w:r>
              <w:rPr>
                <w:rFonts w:ascii="Calibri" w:cs="Calibri" w:eastAsia="Calibri" w:hAnsi="Calibri"/>
                <w:b/>
                <w:bCs/>
                <w:color w:val="2E6B2E"/>
                <w:sz w:val="20"/>
                <w:szCs w:val="20"/>
              </w:rPr>
              <w:t xml:space="preserve">Dalam bahasa sederhana</w:t>
            </w:r>
          </w:p>
          <w:p>
            <w:r>
              <w:rPr>
                <w:rFonts w:ascii="Calibri" w:cs="Calibri" w:eastAsia="Calibri" w:hAnsi="Calibri"/>
                <w:color w:val="1F4A1F"/>
                <w:sz w:val="21"/>
                <w:szCs w:val="21"/>
              </w:rPr>
              <w:t xml:space="preserve">Empat pendekatan berbeda dicoba seperti mencoba beberapa metode belajar sebelum memutuskan yang paling efektif. Hasilnya konsisten: memakai model yang sudah punya “pengalaman” dari jutaan gambar lain (transfer learning) jauh lebih baik daripada melatih model dari nol, karena data foto gigi yang kami punya masih relatif sedikit untuk melatih sebuah model besar dari awal. ResNet18 dengan transfer learning terpilih sebagai arsitektur dasar untuk tahap produksi.</w:t>
            </w:r>
          </w:p>
        </w:tc>
      </w:tr>
    </w:tbl>
    <w:p>
      <w:pPr>
        <w:pStyle w:val="Heading2"/>
        <w:spacing w:after="100" w:before="220"/>
      </w:pPr>
      <w:r>
        <w:t xml:space="preserve">Tahap 2. Pipeline produksi final (notebook 10)</w:t>
      </w:r>
    </w:p>
    <w:p>
      <w:pPr>
        <w:spacing w:after="140"/>
      </w:pPr>
      <w:r>
        <w:rPr>
          <w:rFonts w:ascii="Calibri" w:cs="Calibri" w:eastAsia="Calibri" w:hAnsi="Calibri"/>
          <w:sz w:val="22"/>
          <w:szCs w:val="22"/>
        </w:rPr>
        <w:t xml:space="preserve">Setelah label dari 3 annotator (“Grade AC by Team.xlsx”) tersedia, pipeline dibangun ulang dari awal menggunakan arsitektur ResNet18 yang sudah terbukti unggul pada Tahap 1, kali ini dilatih pada dataset OMNI penuh dengan 3 label per foto.</w:t>
      </w:r>
    </w:p>
    <w:p>
      <w:pPr>
        <w:pStyle w:val="ListParagraph"/>
        <w:numPr>
          <w:ilvl w:val="0"/>
          <w:numId w:val="2"/>
        </w:numPr>
        <w:spacing w:after="60"/>
      </w:pPr>
      <w:r>
        <w:rPr>
          <w:rFonts w:ascii="Calibri" w:cs="Calibri" w:eastAsia="Calibri" w:hAnsi="Calibri"/>
          <w:b/>
          <w:bCs/>
          <w:sz w:val="22"/>
          <w:szCs w:val="22"/>
        </w:rPr>
        <w:t xml:space="preserve">10_ac_multiannotator_resnet.ipynb, satu-satunya notebook yang menghasilkan model produksi yang di-deploy ke aplikasi.</w:t>
      </w:r>
      <w:r>
        <w:rPr>
          <w:rFonts w:ascii="Calibri" w:cs="Calibri" w:eastAsia="Calibri" w:hAnsi="Calibri"/>
          <w:sz w:val="22"/>
          <w:szCs w:val="22"/>
        </w:rPr>
        <w:t xml:space="preserve"> Notebook ini mencakup: perhitungan kesepakatan antar-annotator sebagai batas atas performa yang realistis, perbandingan target konsensus (mean, median, majority, soft-label), training ResNet18, diagnostik overfitting, regularisasi, ensembling dan test-time augmentation, evaluasi 5-fold cross-validation, dan ekspor model dua-keluaran (skor dan vektor fitur) beserta file konfigurasi ke Core ML.</w:t>
      </w:r>
    </w:p>
    <w:p>
      <w:r>
        <w:br w:type="page"/>
      </w:r>
    </w:p>
    <w:p>
      <w:pPr>
        <w:pStyle w:val="Heading1"/>
        <w:spacing w:after="140" w:before="320"/>
      </w:pPr>
      <w:r>
        <w:t xml:space="preserve">Pengumpulan &amp; Pra-pemrosesan Data</w:t>
      </w:r>
    </w:p>
    <w:p>
      <w:pPr>
        <w:pStyle w:val="Heading2"/>
        <w:spacing w:after="100" w:before="220"/>
      </w:pPr>
      <w:r>
        <w:t xml:space="preserve">Dataset produksi</w:t>
      </w:r>
    </w:p>
    <w:p>
      <w:pPr>
        <w:spacing w:after="140"/>
      </w:pPr>
      <w:r>
        <w:rPr>
          <w:rFonts w:ascii="Calibri" w:cs="Calibri" w:eastAsia="Calibri" w:hAnsi="Calibri"/>
          <w:sz w:val="22"/>
          <w:szCs w:val="22"/>
        </w:rPr>
        <w:t xml:space="preserve">Dataset foto intraoral OMNI front-teeth. Setiap gambar dinilai AC secara independen 1 sampai 10 oleh tiga annotator (tim proyek), dicatat dalam “Grade AC by Team.xlsx” dengan satu baris per gambar dan satu kolom per annotator.</w:t>
      </w:r>
    </w:p>
    <w:p>
      <w:pPr>
        <w:pStyle w:val="Heading2"/>
        <w:spacing w:after="100" w:before="220"/>
      </w:pPr>
      <w:r>
        <w:t xml:space="preserve">Target konsensus</w:t>
      </w:r>
    </w:p>
    <w:p>
      <w:pPr>
        <w:spacing w:after="140"/>
      </w:pPr>
      <w:r>
        <w:rPr>
          <w:rFonts w:ascii="Calibri" w:cs="Calibri" w:eastAsia="Calibri" w:hAnsi="Calibri"/>
          <w:sz w:val="22"/>
          <w:szCs w:val="22"/>
        </w:rPr>
        <w:t xml:space="preserve">Beberapa strategi konsensus diuji untuk menurunkan satu label training dari 3 skor annotator, yaitu mean, median, majority vote, dan soft (distributional) label. Konsensus mean menghasilkan performa model terbaik dan dipakai sebagai target final.</w:t>
      </w:r>
    </w:p>
    <w:p>
      <w:pPr>
        <w:pStyle w:val="Heading2"/>
        <w:spacing w:after="100" w:before="220"/>
      </w:pPr>
      <w:r>
        <w:t xml:space="preserve">Kesepakatan antar-annotator (human ceiling)</w:t>
      </w:r>
    </w:p>
    <w:p>
      <w:pPr>
        <w:spacing w:after="140"/>
      </w:pPr>
      <w:r>
        <w:rPr>
          <w:rFonts w:ascii="Calibri" w:cs="Calibri" w:eastAsia="Calibri" w:hAnsi="Calibri"/>
          <w:sz w:val="22"/>
          <w:szCs w:val="22"/>
        </w:rPr>
        <w:t xml:space="preserve">Kesepakatan antara 3 annotator diukur dengan dua metrik standar untuk data ordinal multi-rater.</w:t>
      </w:r>
    </w:p>
    <w:p>
      <w:pPr>
        <w:spacing w:after="100"/>
        <w:ind w:left="431" w:hanging="431"/>
      </w:pPr>
      <w:r>
        <w:rPr>
          <w:rFonts w:ascii="Calibri" w:cs="Calibri" w:eastAsia="Calibri" w:hAnsi="Calibri"/>
          <w:i/>
          <w:iCs/>
          <w:color w:val="444444"/>
          <w:sz w:val="20"/>
          <w:szCs w:val="20"/>
        </w:rPr>
        <w:t xml:space="preserve">Quadratic Weighted Kappa (QWK). Perluasan dari Cohen's Kappa (Cohen, 1960) untuk data ordinal, memberi bobot kuadrat terhadap selisih jarak antar-kategori (Cohen, 1968). Rentang -1 hingga 1, dengan 0 berarti kesepakatan tidak lebih baik dari acak.</w:t>
      </w:r>
    </w:p>
    <w:p>
      <w:pPr>
        <w:spacing w:after="100"/>
        <w:ind w:left="431" w:hanging="431"/>
      </w:pPr>
      <w:r>
        <w:rPr>
          <w:rFonts w:ascii="Calibri" w:cs="Calibri" w:eastAsia="Calibri" w:hAnsi="Calibri"/>
          <w:i/>
          <w:iCs/>
          <w:color w:val="444444"/>
          <w:sz w:val="20"/>
          <w:szCs w:val="20"/>
        </w:rPr>
        <w:t xml:space="preserve">Krippendorff's alpha. Metrik kesepakatan antar-rater yang mendukung data ordinal dan lebih dari dua rater sekaligus, serta menangani data yang hilang. Nilai di atas 0,80 umumnya dianggap kesepakatan kuat, dan 0,67 sampai 0,80 masih dianggap cukup andal.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6FA86F" w:sz="4"/>
              <w:left w:val="single" w:color="3F8F3F" w:sz="12"/>
              <w:bottom w:val="single" w:color="6FA86F" w:sz="4"/>
              <w:right w:val="single" w:color="6FA86F" w:sz="4"/>
            </w:tcBorders>
            <w:shd w:fill="EEF5EC" w:val="clear"/>
            <w:tcMar>
              <w:top w:type="dxa" w:w="120"/>
              <w:left w:type="dxa" w:w="160"/>
              <w:bottom w:type="dxa" w:w="120"/>
              <w:right w:type="dxa" w:w="160"/>
            </w:tcMar>
          </w:tcPr>
          <w:p>
            <w:pPr>
              <w:spacing w:after="40"/>
            </w:pPr>
            <w:r>
              <w:rPr>
                <w:rFonts w:ascii="Calibri" w:cs="Calibri" w:eastAsia="Calibri" w:hAnsi="Calibri"/>
                <w:b/>
                <w:bCs/>
                <w:color w:val="2E6B2E"/>
                <w:sz w:val="20"/>
                <w:szCs w:val="20"/>
              </w:rPr>
              <w:t xml:space="preserve">Dalam bahasa sederhana</w:t>
            </w:r>
          </w:p>
          <w:p>
            <w:r>
              <w:rPr>
                <w:rFonts w:ascii="Calibri" w:cs="Calibri" w:eastAsia="Calibri" w:hAnsi="Calibri"/>
                <w:color w:val="1F4A1F"/>
                <w:sz w:val="21"/>
                <w:szCs w:val="21"/>
              </w:rPr>
              <w:t xml:space="preserve">Sebelum menilai seberapa bagus model, kami lebih dulu mengukur seberapa sepakat ketiga annotator manusia terhadap foto yang sama. Hasilnya, QWK 0,918, angka yang sangat tinggi tetapi tetap bukan 1,0 sempurna. Ini penting karena artinya bahkan penilaian manusia sendiri punya sedikit variasi wajar. Angka inilah yang dipakai sebagai tolok ukur realistis, bukan angka sempurna, untuk menilai apakah model sudah cukup baik.</w:t>
            </w:r>
          </w:p>
        </w:tc>
      </w:tr>
    </w:tbl>
    <w:p>
      <w:pPr>
        <w:pStyle w:val="Heading2"/>
        <w:spacing w:after="100" w:before="220"/>
      </w:pPr>
      <w:r>
        <w:t xml:space="preserve">Ketidakseimbangan kelas</w:t>
      </w:r>
    </w:p>
    <w:p>
      <w:pPr>
        <w:spacing w:after="140"/>
      </w:pPr>
      <w:r>
        <w:rPr>
          <w:rFonts w:ascii="Calibri" w:cs="Calibri" w:eastAsia="Calibri" w:hAnsi="Calibri"/>
          <w:sz w:val="22"/>
          <w:szCs w:val="22"/>
        </w:rPr>
        <w:t xml:space="preserve">Grade 8 sampai 10 jarang ditemukan di dataset, mencerminkan kelangkaannya di populasi umum. Ketidakseimbangan ini adalah batasan utama performa model saat ini di ujung skala yang paling parah.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6FA86F" w:sz="4"/>
              <w:left w:val="single" w:color="3F8F3F" w:sz="12"/>
              <w:bottom w:val="single" w:color="6FA86F" w:sz="4"/>
              <w:right w:val="single" w:color="6FA86F" w:sz="4"/>
            </w:tcBorders>
            <w:shd w:fill="EEF5EC" w:val="clear"/>
            <w:tcMar>
              <w:top w:type="dxa" w:w="120"/>
              <w:left w:type="dxa" w:w="160"/>
              <w:bottom w:type="dxa" w:w="120"/>
              <w:right w:type="dxa" w:w="160"/>
            </w:tcMar>
          </w:tcPr>
          <w:p>
            <w:pPr>
              <w:spacing w:after="40"/>
            </w:pPr>
            <w:r>
              <w:rPr>
                <w:rFonts w:ascii="Calibri" w:cs="Calibri" w:eastAsia="Calibri" w:hAnsi="Calibri"/>
                <w:b/>
                <w:bCs/>
                <w:color w:val="2E6B2E"/>
                <w:sz w:val="20"/>
                <w:szCs w:val="20"/>
              </w:rPr>
              <w:t xml:space="preserve">Dalam bahasa sederhana</w:t>
            </w:r>
          </w:p>
          <w:p>
            <w:r>
              <w:rPr>
                <w:rFonts w:ascii="Calibri" w:cs="Calibri" w:eastAsia="Calibri" w:hAnsi="Calibri"/>
                <w:color w:val="1F4A1F"/>
                <w:sz w:val="21"/>
                <w:szCs w:val="21"/>
              </w:rPr>
              <w:t xml:space="preserve">Kebanyakan orang yang difoto untuk keperluan penelitian ini tidak memiliki kondisi gigi yang paling parah, sehingga contoh kasus berat (grade 9 dan 10) jumlahnya sedikit. Model jadi kurang punya banyak contoh untuk belajar mengenali kondisi paling parah tersebut, sama seperti seorang dokter baru yang belum banyak menemui kasus ekstrem akan kurang percaya diri menilainya dibanding kasus yang sering ia temui.</w:t>
            </w:r>
          </w:p>
        </w:tc>
      </w:tr>
    </w:tbl>
    <w:p>
      <w:pPr>
        <w:pStyle w:val="Heading1"/>
        <w:spacing w:after="140" w:before="320"/>
      </w:pPr>
      <w:r>
        <w:t xml:space="preserve">Exploratory Data Analysis</w:t>
      </w:r>
    </w:p>
    <w:p>
      <w:pPr>
        <w:pStyle w:val="ListParagraph"/>
        <w:numPr>
          <w:ilvl w:val="0"/>
          <w:numId w:val="2"/>
        </w:numPr>
        <w:spacing w:after="60"/>
      </w:pPr>
      <w:r>
        <w:rPr>
          <w:rFonts w:ascii="Calibri" w:cs="Calibri" w:eastAsia="Calibri" w:hAnsi="Calibri"/>
          <w:sz w:val="22"/>
          <w:szCs w:val="22"/>
        </w:rPr>
        <w:t xml:space="preserve">Distribusi skor per-annotator dan per-grade dihitung untuk mengecek bias sistematis antar-annotator, misalnya apakah satu annotator konsisten memberi skor lebih tinggi atau lebih rendah dari yang lain.</w:t>
      </w:r>
    </w:p>
    <w:p>
      <w:pPr>
        <w:pStyle w:val="ListParagraph"/>
        <w:numPr>
          <w:ilvl w:val="0"/>
          <w:numId w:val="2"/>
        </w:numPr>
        <w:spacing w:after="60"/>
      </w:pPr>
      <w:r>
        <w:rPr>
          <w:rFonts w:ascii="Calibri" w:cs="Calibri" w:eastAsia="Calibri" w:hAnsi="Calibri"/>
          <w:sz w:val="22"/>
          <w:szCs w:val="22"/>
        </w:rPr>
        <w:t xml:space="preserve">Confusion matrix di seluruh 10 grade dihasilkan untuk melihat di mana model tertukar antara grade yang berdekatan dibanding grade yang jauh. Kekeliruan model terkonsentrasi hampir seluruhnya di grade yang berdekatan satu tingkat, konsisten dengan sifat ordinal AC.</w:t>
      </w:r>
    </w:p>
    <w:p>
      <w:pPr>
        <w:pStyle w:val="ListParagraph"/>
        <w:numPr>
          <w:ilvl w:val="0"/>
          <w:numId w:val="2"/>
        </w:numPr>
        <w:spacing w:after="60"/>
      </w:pPr>
      <w:r>
        <w:rPr>
          <w:rFonts w:ascii="Calibri" w:cs="Calibri" w:eastAsia="Calibri" w:hAnsi="Calibri"/>
          <w:sz w:val="22"/>
          <w:szCs w:val="22"/>
        </w:rPr>
        <w:t xml:space="preserve">Train-vs-validation MAE dilacak untuk memisahkan masalah overfitting dari ceiling akibat keterbatasan data.</w:t>
      </w:r>
    </w:p>
    <w:p>
      <w:pPr>
        <w:pStyle w:val="Heading1"/>
        <w:spacing w:after="140" w:before="320"/>
      </w:pPr>
      <w:r>
        <w:t xml:space="preserve">Model Experiment: Metrik Evaluasi</w:t>
      </w:r>
    </w:p>
    <w:p>
      <w:pPr>
        <w:spacing w:after="140"/>
      </w:pPr>
      <w:r>
        <w:rPr>
          <w:rFonts w:ascii="Calibri" w:cs="Calibri" w:eastAsia="Calibri" w:hAnsi="Calibri"/>
          <w:sz w:val="22"/>
          <w:szCs w:val="22"/>
        </w:rPr>
        <w:t xml:space="preserve">Metrik evaluasi yang dipakai pada notebook produksi (notebook 10).</w:t>
      </w:r>
    </w:p>
    <w:p>
      <w:pPr>
        <w:spacing w:after="100"/>
        <w:ind w:left="431" w:hanging="431"/>
      </w:pPr>
      <w:r>
        <w:rPr>
          <w:rFonts w:ascii="Calibri" w:cs="Calibri" w:eastAsia="Calibri" w:hAnsi="Calibri"/>
          <w:i/>
          <w:iCs/>
          <w:color w:val="444444"/>
          <w:sz w:val="20"/>
          <w:szCs w:val="20"/>
        </w:rPr>
        <w:t xml:space="preserve">Quadratic Weighted Kappa (QWK). Metrik utama, standar untuk mengukur kesepakatan skor ordinal.</w:t>
      </w:r>
    </w:p>
    <w:p>
      <w:pPr>
        <w:spacing w:after="100"/>
        <w:ind w:left="431" w:hanging="431"/>
      </w:pPr>
      <w:r>
        <w:rPr>
          <w:rFonts w:ascii="Calibri" w:cs="Calibri" w:eastAsia="Calibri" w:hAnsi="Calibri"/>
          <w:i/>
          <w:iCs/>
          <w:color w:val="444444"/>
          <w:sz w:val="20"/>
          <w:szCs w:val="20"/>
        </w:rPr>
        <w:t xml:space="preserve">Mean Absolute Error (MAE). Rata-rata selisih absolut antara skor prediksi dan target.</w:t>
      </w:r>
    </w:p>
    <w:p>
      <w:pPr>
        <w:spacing w:after="100"/>
        <w:ind w:left="431" w:hanging="431"/>
      </w:pPr>
      <w:r>
        <w:rPr>
          <w:rFonts w:ascii="Calibri" w:cs="Calibri" w:eastAsia="Calibri" w:hAnsi="Calibri"/>
          <w:i/>
          <w:iCs/>
          <w:color w:val="444444"/>
          <w:sz w:val="20"/>
          <w:szCs w:val="20"/>
        </w:rPr>
        <w:t xml:space="preserve">Akurasi dalam rentang satu grade. Persentase prediksi dalam rentang satu grade dari target, bermakna secara klinis karena mencerminkan toleransi antar-penilai yang umum pada skala AC.</w:t>
      </w:r>
    </w:p>
    <w:p>
      <w:pPr>
        <w:spacing w:after="140"/>
      </w:pPr>
      <w:r>
        <w:rPr>
          <w:rFonts w:ascii="Calibri" w:cs="Calibri" w:eastAsia="Calibri" w:hAnsi="Calibri"/>
          <w:sz w:val="22"/>
          <w:szCs w:val="22"/>
        </w:rPr>
        <w:t xml:space="preserve">Regularisasi (dropout, weight decay, augmentasi) diterapkan untuk mengatasi gap overfitting yang terdiagnosis, dengan train MAE 0,455 dibanding val MAE 1,147 pada satu titik pengujian.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6FA86F" w:sz="4"/>
              <w:left w:val="single" w:color="3F8F3F" w:sz="12"/>
              <w:bottom w:val="single" w:color="6FA86F" w:sz="4"/>
              <w:right w:val="single" w:color="6FA86F" w:sz="4"/>
            </w:tcBorders>
            <w:shd w:fill="EEF5EC" w:val="clear"/>
            <w:tcMar>
              <w:top w:type="dxa" w:w="120"/>
              <w:left w:type="dxa" w:w="160"/>
              <w:bottom w:type="dxa" w:w="120"/>
              <w:right w:type="dxa" w:w="160"/>
            </w:tcMar>
          </w:tcPr>
          <w:p>
            <w:pPr>
              <w:spacing w:after="40"/>
            </w:pPr>
            <w:r>
              <w:rPr>
                <w:rFonts w:ascii="Calibri" w:cs="Calibri" w:eastAsia="Calibri" w:hAnsi="Calibri"/>
                <w:b/>
                <w:bCs/>
                <w:color w:val="2E6B2E"/>
                <w:sz w:val="20"/>
                <w:szCs w:val="20"/>
              </w:rPr>
              <w:t xml:space="preserve">Dalam bahasa sederhana</w:t>
            </w:r>
          </w:p>
          <w:p>
            <w:r>
              <w:rPr>
                <w:rFonts w:ascii="Calibri" w:cs="Calibri" w:eastAsia="Calibri" w:hAnsi="Calibri"/>
                <w:color w:val="1F4A1F"/>
                <w:sz w:val="21"/>
                <w:szCs w:val="21"/>
              </w:rPr>
              <w:t xml:space="preserve">Overfitting artinya model “menghafal” contoh yang pernah dilihat alih-alih benar-benar belajar mengenali pola gigi yang bermasalah, mirip siswa yang menghafal jawaban ujian tahun lalu tanpa memahami materinya, sehingga gagal saat soal ujiannya berbeda. Setelah regularisasi diterapkan untuk mengurangi kebiasaan menghafal ini, hasil di data baru (validasi) ternyata tidak banyak membaik. Ini adalah sinyal penting, bukan berarti modelnya kurang canggih, melainkan tandanya jumlah data latih saat ini sudah menjadi faktor pembatas utama, bukan lagi kemampuan modelnya.</w:t>
            </w:r>
          </w:p>
        </w:tc>
      </w:tr>
    </w:tbl>
    <w:p>
      <w:pPr>
        <w:spacing w:after="140"/>
      </w:pPr>
      <w:r>
        <w:rPr>
          <w:rFonts w:ascii="Calibri" w:cs="Calibri" w:eastAsia="Calibri" w:hAnsi="Calibri"/>
          <w:sz w:val="22"/>
          <w:szCs w:val="22"/>
        </w:rPr>
        <w:t xml:space="preserve">Ensembling dan test-time augmentation (TTA) kemudian diterapkan untuk tambahan gain performa. 5-fold cross-validation dijalankan untuk estimasi out-of-fold (OOF) yang stabil dan tidak bias oleh satu kali pembagian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6FA86F" w:sz="4"/>
              <w:left w:val="single" w:color="3F8F3F" w:sz="12"/>
              <w:bottom w:val="single" w:color="6FA86F" w:sz="4"/>
              <w:right w:val="single" w:color="6FA86F" w:sz="4"/>
            </w:tcBorders>
            <w:shd w:fill="EEF5EC" w:val="clear"/>
            <w:tcMar>
              <w:top w:type="dxa" w:w="120"/>
              <w:left w:type="dxa" w:w="160"/>
              <w:bottom w:type="dxa" w:w="120"/>
              <w:right w:type="dxa" w:w="160"/>
            </w:tcMar>
          </w:tcPr>
          <w:p>
            <w:pPr>
              <w:spacing w:after="40"/>
            </w:pPr>
            <w:r>
              <w:rPr>
                <w:rFonts w:ascii="Calibri" w:cs="Calibri" w:eastAsia="Calibri" w:hAnsi="Calibri"/>
                <w:b/>
                <w:bCs/>
                <w:color w:val="2E6B2E"/>
                <w:sz w:val="20"/>
                <w:szCs w:val="20"/>
              </w:rPr>
              <w:t xml:space="preserve">Dalam bahasa sederhana</w:t>
            </w:r>
          </w:p>
          <w:p>
            <w:r>
              <w:rPr>
                <w:rFonts w:ascii="Calibri" w:cs="Calibri" w:eastAsia="Calibri" w:hAnsi="Calibri"/>
                <w:color w:val="1F4A1F"/>
                <w:sz w:val="21"/>
                <w:szCs w:val="21"/>
              </w:rPr>
              <w:t xml:space="preserve">Ensembling berarti menggabungkan hasil dari beberapa versi model sekaligus dan mengambil rata-ratanya, seperti meminta pendapat dari beberapa dokter lalu mengambil kesimpulan bersama, biasanya lebih stabil daripada mengandalkan satu pendapat saja. Cross-validation berarti model diuji berkali-kali dengan kombinasi data latih dan data uji yang berbeda-beda, supaya hasil akhirnya tidak kebetulan bagus atau kebetulan jelek hanya karena satu kali pembagian data yang beruntung atau tidak beruntung.</w:t>
            </w:r>
          </w:p>
        </w:tc>
      </w:tr>
    </w:tbl>
    <w:p>
      <w:pPr>
        <w:pStyle w:val="Heading1"/>
        <w:spacing w:after="140" w:before="320"/>
      </w:pPr>
      <w:r>
        <w:t xml:space="preserve">Kesimpulan</w:t>
      </w:r>
    </w:p>
    <w:p>
      <w:pPr>
        <w:spacing w:after="140"/>
      </w:pPr>
      <w:r>
        <w:rPr>
          <w:rFonts w:ascii="Calibri" w:cs="Calibri" w:eastAsia="Calibri" w:hAnsi="Calibri"/>
          <w:sz w:val="22"/>
          <w:szCs w:val="22"/>
        </w:rPr>
        <w:t xml:space="preserve">Model produksi final, hasil notebook 10, adalah backbone ResNet18 (arsitektur yang tervalidasi pada Tahap 1) dengan setup training yang mempertimbangkan sifat ordinal AC (target konsensus mean, regularisasi, ensembling, dan TTA), dievaluasi lewat 5-fold cross-validation. Model ini mencapai QWK out-of-fold 0,838, MAE 0,962, dan akurasi dalam rentang satu grade 79,1%, dibandingkan human ceiling QWK 0,918.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6FA86F" w:sz="4"/>
              <w:left w:val="single" w:color="3F8F3F" w:sz="12"/>
              <w:bottom w:val="single" w:color="6FA86F" w:sz="4"/>
              <w:right w:val="single" w:color="6FA86F" w:sz="4"/>
            </w:tcBorders>
            <w:shd w:fill="EEF5EC" w:val="clear"/>
            <w:tcMar>
              <w:top w:type="dxa" w:w="120"/>
              <w:left w:type="dxa" w:w="160"/>
              <w:bottom w:type="dxa" w:w="120"/>
              <w:right w:type="dxa" w:w="160"/>
            </w:tcMar>
          </w:tcPr>
          <w:p>
            <w:pPr>
              <w:spacing w:after="40"/>
            </w:pPr>
            <w:r>
              <w:rPr>
                <w:rFonts w:ascii="Calibri" w:cs="Calibri" w:eastAsia="Calibri" w:hAnsi="Calibri"/>
                <w:b/>
                <w:bCs/>
                <w:color w:val="2E6B2E"/>
                <w:sz w:val="20"/>
                <w:szCs w:val="20"/>
              </w:rPr>
              <w:t xml:space="preserve">Dalam bahasa sederhana</w:t>
            </w:r>
          </w:p>
          <w:p>
            <w:r>
              <w:rPr>
                <w:rFonts w:ascii="Calibri" w:cs="Calibri" w:eastAsia="Calibri" w:hAnsi="Calibri"/>
                <w:color w:val="1F4A1F"/>
                <w:sz w:val="21"/>
                <w:szCs w:val="21"/>
              </w:rPr>
              <w:t xml:space="preserve">Model ini bisa diandalkan untuk membantu triase awal dan mempercepat proses skrining, dengan hasil yang secara statistik mendekati konsistensi penilaian manusia. Namun peningkatan performa lebih lanjut kemungkinan besar tidak akan datang dari mengubah arsitektur model lagi, melainkan dari menambah jumlah dan variasi data berlabel, terutama untuk kasus grade 9 dan 10 yang saat ini masih kurang terwakili.</w:t>
            </w:r>
          </w:p>
        </w:tc>
      </w:tr>
    </w:tbl>
    <w:p>
      <w:r>
        <w:br w:type="page"/>
      </w:r>
    </w:p>
    <w:p>
      <w:pPr>
        <w:pStyle w:val="Title"/>
        <w:spacing w:after="200"/>
      </w:pPr>
      <w:r>
        <w:t xml:space="preserve">AI/ML System Technical Overview</w:t>
      </w:r>
    </w:p>
    <w:p>
      <w:pPr>
        <w:pStyle w:val="Heading1"/>
        <w:spacing w:after="140" w:before="320"/>
      </w:pPr>
      <w:r>
        <w:t xml:space="preserve">Arsitektur Sistem</w:t>
      </w:r>
    </w:p>
    <w:p>
      <w:pPr>
        <w:spacing w:after="140"/>
      </w:pPr>
      <w:r>
        <w:rPr>
          <w:rFonts w:ascii="Calibri" w:cs="Calibri" w:eastAsia="Calibri" w:hAnsi="Calibri"/>
          <w:sz w:val="22"/>
          <w:szCs w:val="22"/>
        </w:rPr>
        <w:t xml:space="preserve">Alur end-to-end untuk modul AC di dalam aplikasi iOS.</w:t>
      </w:r>
    </w:p>
    <w:p>
      <w:pPr>
        <w:pStyle w:val="ListParagraph"/>
        <w:numPr>
          <w:ilvl w:val="0"/>
          <w:numId w:val="3"/>
        </w:numPr>
        <w:spacing w:after="60"/>
      </w:pPr>
      <w:r>
        <w:rPr>
          <w:rFonts w:ascii="Calibri" w:cs="Calibri" w:eastAsia="Calibri" w:hAnsi="Calibri"/>
          <w:sz w:val="22"/>
          <w:szCs w:val="22"/>
        </w:rPr>
        <w:t xml:space="preserve">Pengguna memilih atau mengambil foto intraoral frontal di aplikasi (SwiftUI PhotosPicker).</w:t>
      </w:r>
    </w:p>
    <w:p>
      <w:pPr>
        <w:pStyle w:val="ListParagraph"/>
        <w:numPr>
          <w:ilvl w:val="0"/>
          <w:numId w:val="3"/>
        </w:numPr>
        <w:spacing w:after="60"/>
      </w:pPr>
      <w:r>
        <w:rPr>
          <w:rFonts w:ascii="Calibri" w:cs="Calibri" w:eastAsia="Calibri" w:hAnsi="Calibri"/>
          <w:sz w:val="22"/>
          <w:szCs w:val="22"/>
        </w:rPr>
        <w:t xml:space="preserve">Orientasi EXIF dinormalisasi.</w:t>
      </w:r>
    </w:p>
    <w:p>
      <w:pPr>
        <w:pStyle w:val="ListParagraph"/>
        <w:numPr>
          <w:ilvl w:val="0"/>
          <w:numId w:val="3"/>
        </w:numPr>
        <w:spacing w:after="60"/>
      </w:pPr>
      <w:r>
        <w:rPr>
          <w:rFonts w:ascii="Calibri" w:cs="Calibri" w:eastAsia="Calibri" w:hAnsi="Calibri"/>
          <w:sz w:val="22"/>
          <w:szCs w:val="22"/>
        </w:rPr>
        <w:t xml:space="preserve">Gambar di-resize (stretch) ke 224 kali 224 piksel dan dikonversi ke CVPixelBuffer 32BGRA, sesuai cara model dilatih di notebook 10.</w:t>
      </w:r>
    </w:p>
    <w:p>
      <w:pPr>
        <w:pStyle w:val="ListParagraph"/>
        <w:numPr>
          <w:ilvl w:val="0"/>
          <w:numId w:val="3"/>
        </w:numPr>
        <w:spacing w:after="60"/>
      </w:pPr>
      <w:r>
        <w:rPr>
          <w:rFonts w:ascii="Calibri" w:cs="Calibri" w:eastAsia="Calibri" w:hAnsi="Calibri"/>
          <w:sz w:val="22"/>
          <w:szCs w:val="22"/>
        </w:rPr>
        <w:t xml:space="preserve">Model Core ML (ACGrader.mlpackage, hasil ekspor notebook 10) dijalankan langsung lewat MLModel.prediction(from:), menghasilkan skor AC mentah dan vektor fitur 512 dimensi. Normalisasi ImageNet ditanam di dalam model.</w:t>
      </w:r>
    </w:p>
    <w:p>
      <w:pPr>
        <w:pStyle w:val="ListParagraph"/>
        <w:numPr>
          <w:ilvl w:val="0"/>
          <w:numId w:val="3"/>
        </w:numPr>
        <w:spacing w:after="60"/>
      </w:pPr>
      <w:r>
        <w:rPr>
          <w:rFonts w:ascii="Calibri" w:cs="Calibri" w:eastAsia="Calibri" w:hAnsi="Calibri"/>
          <w:sz w:val="22"/>
          <w:szCs w:val="22"/>
        </w:rPr>
        <w:t xml:space="preserve">Pengecekan out-of-distribution (OOD) menghitung kemiripan antara vektor fitur foto yang baru dengan pola-pola foto yang pernah dipelajari model selama training. Bila kemiripannya terlalu rendah, foto ditolak.</w:t>
      </w:r>
    </w:p>
    <w:p>
      <w:pPr>
        <w:pStyle w:val="ListParagraph"/>
        <w:numPr>
          <w:ilvl w:val="0"/>
          <w:numId w:val="3"/>
        </w:numPr>
        <w:spacing w:after="60"/>
      </w:pPr>
      <w:r>
        <w:rPr>
          <w:rFonts w:ascii="Calibri" w:cs="Calibri" w:eastAsia="Calibri" w:hAnsi="Calibri"/>
          <w:sz w:val="22"/>
          <w:szCs w:val="22"/>
        </w:rPr>
        <w:t xml:space="preserve">Bila diterima, skor mentah dikalibrasi, dibulatkan ke 1 sampai 10, dan confidence dihitung dari distribusi error residual model.</w:t>
      </w:r>
    </w:p>
    <w:p>
      <w:pPr>
        <w:pStyle w:val="ListParagraph"/>
        <w:numPr>
          <w:ilvl w:val="0"/>
          <w:numId w:val="3"/>
        </w:numPr>
        <w:spacing w:after="60"/>
      </w:pPr>
      <w:r>
        <w:rPr>
          <w:rFonts w:ascii="Calibri" w:cs="Calibri" w:eastAsia="Calibri" w:hAnsi="Calibri"/>
          <w:sz w:val="22"/>
          <w:szCs w:val="22"/>
        </w:rPr>
        <w:t xml:space="preserve">ViewModel (MVVM) mempublikasikan skor, confidence, dan deskripsi tingkat keparahan ke tampilan pengguna.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6FA86F" w:sz="4"/>
              <w:left w:val="single" w:color="3F8F3F" w:sz="12"/>
              <w:bottom w:val="single" w:color="6FA86F" w:sz="4"/>
              <w:right w:val="single" w:color="6FA86F" w:sz="4"/>
            </w:tcBorders>
            <w:shd w:fill="EEF5EC" w:val="clear"/>
            <w:tcMar>
              <w:top w:type="dxa" w:w="120"/>
              <w:left w:type="dxa" w:w="160"/>
              <w:bottom w:type="dxa" w:w="120"/>
              <w:right w:type="dxa" w:w="160"/>
            </w:tcMar>
          </w:tcPr>
          <w:p>
            <w:pPr>
              <w:spacing w:after="40"/>
            </w:pPr>
            <w:r>
              <w:rPr>
                <w:rFonts w:ascii="Calibri" w:cs="Calibri" w:eastAsia="Calibri" w:hAnsi="Calibri"/>
                <w:b/>
                <w:bCs/>
                <w:color w:val="2E6B2E"/>
                <w:sz w:val="20"/>
                <w:szCs w:val="20"/>
              </w:rPr>
              <w:t xml:space="preserve">Dalam bahasa sederhana</w:t>
            </w:r>
          </w:p>
          <w:p>
            <w:r>
              <w:rPr>
                <w:rFonts w:ascii="Calibri" w:cs="Calibri" w:eastAsia="Calibri" w:hAnsi="Calibri"/>
                <w:color w:val="1F4A1F"/>
                <w:sz w:val="21"/>
                <w:szCs w:val="21"/>
              </w:rPr>
              <w:t xml:space="preserve">Pengecekan out-of-distribution bekerja seperti seorang dokter yang sadar diri: ketika melihat foto yang sangat berbeda dari ribuan foto gigi yang pernah ia pelajari, misalnya foto buram, bukan foto gigi, atau sudut pengambilan yang aneh, ia akan berkata “maaf, saya tidak bisa menilai foto ini dengan yakin” daripada memaksakan sebuah angka yang bisa menyesatkan. Kalibrasi memastikan skor mentah dari model diselaraskan ke skala 1 sampai 10 yang konsisten dengan penilaian annotator asli, sehingga angka yang muncul di layar benar-benar sebanding dengan skala IOTN-AC yang biasa dipakai secara klinis.</w:t>
            </w:r>
          </w:p>
        </w:tc>
      </w:tr>
    </w:tbl>
    <w:p>
      <w:pPr>
        <w:pStyle w:val="Heading1"/>
        <w:spacing w:after="140" w:before="320"/>
      </w:pPr>
      <w:r>
        <w:t xml:space="preserve">Metode Deployment Model</w:t>
      </w:r>
    </w:p>
    <w:p>
      <w:pPr>
        <w:spacing w:after="140"/>
      </w:pPr>
      <w:r>
        <w:rPr>
          <w:rFonts w:ascii="Calibri" w:cs="Calibri" w:eastAsia="Calibri" w:hAnsi="Calibri"/>
          <w:sz w:val="22"/>
          <w:szCs w:val="22"/>
        </w:rPr>
        <w:t xml:space="preserve">Model di-deploy sebagai package Core ML (.mlpackage) yang diekspor dari PyTorch, berjalan sepenuhnya di perangkat pengguna (on-device), tanpa mengirim foto pasien ke server mana pun.</w:t>
      </w:r>
    </w:p>
    <w:p>
      <w:pPr>
        <w:pStyle w:val="ListParagraph"/>
        <w:numPr>
          <w:ilvl w:val="0"/>
          <w:numId w:val="2"/>
        </w:numPr>
        <w:spacing w:after="60"/>
      </w:pPr>
      <w:r>
        <w:rPr>
          <w:rFonts w:ascii="Calibri" w:cs="Calibri" w:eastAsia="Calibri" w:hAnsi="Calibri"/>
          <w:sz w:val="22"/>
          <w:szCs w:val="22"/>
        </w:rPr>
        <w:t xml:space="preserve">Input Core ML bertipe Image bernama “citra”, scale 1/255, RGB. Core ML menangani decoding dan resize gambar secara internal.</w:t>
      </w:r>
    </w:p>
    <w:p>
      <w:pPr>
        <w:pStyle w:val="ListParagraph"/>
        <w:numPr>
          <w:ilvl w:val="0"/>
          <w:numId w:val="2"/>
        </w:numPr>
        <w:spacing w:after="60"/>
      </w:pPr>
      <w:r>
        <w:rPr>
          <w:rFonts w:ascii="Calibri" w:cs="Calibri" w:eastAsia="Calibri" w:hAnsi="Calibri"/>
          <w:sz w:val="22"/>
          <w:szCs w:val="22"/>
        </w:rPr>
        <w:t xml:space="preserve">Dua keluaran model, yaitu “grade” (skor mentah) dan “vektor” (512 dimensi untuk deteksi OOD).</w:t>
      </w:r>
    </w:p>
    <w:p>
      <w:pPr>
        <w:pStyle w:val="ListParagraph"/>
        <w:numPr>
          <w:ilvl w:val="0"/>
          <w:numId w:val="2"/>
        </w:numPr>
        <w:spacing w:after="60"/>
      </w:pPr>
      <w:r>
        <w:rPr>
          <w:rFonts w:ascii="Calibri" w:cs="Calibri" w:eastAsia="Calibri" w:hAnsi="Calibri"/>
          <w:sz w:val="22"/>
          <w:szCs w:val="22"/>
        </w:rPr>
        <w:t xml:space="preserve">Pola konsumsi model memanggil MLModel.prediction(from:) secara langsung dengan CVPixelBuffer, dipilih dibanding framework Vision setelah inferensi berbasis Vision terbukti menghasilkan keluaran nol saat integrasi awal.</w:t>
      </w:r>
    </w:p>
    <w:p>
      <w:pPr>
        <w:pStyle w:val="ListParagraph"/>
        <w:numPr>
          <w:ilvl w:val="0"/>
          <w:numId w:val="2"/>
        </w:numPr>
        <w:spacing w:after="60"/>
      </w:pPr>
      <w:r>
        <w:rPr>
          <w:rFonts w:ascii="Calibri" w:cs="Calibri" w:eastAsia="Calibri" w:hAnsi="Calibri"/>
          <w:sz w:val="22"/>
          <w:szCs w:val="22"/>
        </w:rPr>
        <w:t xml:space="preserve">ACGrader_config.json, file terpisah dari model, menyimpan data referensi untuk deteksi OOD, ambang penolakan, parameter kalibrasi, dan sigma residual untuk perhitungan confidence.</w:t>
      </w:r>
    </w:p>
    <w:p>
      <w:pPr>
        <w:pStyle w:val="Heading1"/>
        <w:spacing w:after="140" w:before="320"/>
      </w:pPr>
      <w:r>
        <w:t xml:space="preserve">Struktur Source Code</w:t>
      </w:r>
    </w:p>
    <w:p>
      <w:pPr>
        <w:pStyle w:val="Heading2"/>
        <w:spacing w:after="100" w:before="220"/>
      </w:pPr>
      <w:r>
        <w:t xml:space="preserve">Notebook yang relevan dengan model final</w:t>
      </w:r>
    </w:p>
    <w:p>
      <w:pPr>
        <w:pStyle w:val="ListParagraph"/>
        <w:numPr>
          <w:ilvl w:val="0"/>
          <w:numId w:val="2"/>
        </w:numPr>
        <w:spacing w:after="60"/>
      </w:pPr>
      <w:r>
        <w:rPr>
          <w:rFonts w:ascii="Consolas" w:cs="Consolas" w:eastAsia="Consolas" w:hAnsi="Consolas"/>
          <w:color w:val="8A3B00"/>
          <w:sz w:val="20"/>
          <w:szCs w:val="20"/>
        </w:rPr>
        <w:t xml:space="preserve">10_ac_multiannotator_resnet.ipynb</w:t>
      </w:r>
      <w:r>
        <w:rPr>
          <w:rFonts w:ascii="Calibri" w:cs="Calibri" w:eastAsia="Calibri" w:hAnsi="Calibri"/>
          <w:sz w:val="22"/>
          <w:szCs w:val="22"/>
        </w:rPr>
        <w:t xml:space="preserve">, satu-satunya notebook yang outputnya (ACGrader.mlpackage dan ACGrader_config.json) dipakai langsung oleh aplikasi. Ini adalah notebook produksi.</w:t>
      </w:r>
    </w:p>
    <w:p>
      <w:pPr>
        <w:pStyle w:val="ListParagraph"/>
        <w:numPr>
          <w:ilvl w:val="0"/>
          <w:numId w:val="2"/>
        </w:numPr>
        <w:spacing w:after="60"/>
      </w:pPr>
      <w:r>
        <w:rPr>
          <w:rFonts w:ascii="Consolas" w:cs="Consolas" w:eastAsia="Consolas" w:hAnsi="Consolas"/>
          <w:color w:val="8A3B00"/>
          <w:sz w:val="20"/>
          <w:szCs w:val="20"/>
        </w:rPr>
        <w:t xml:space="preserve">01_ac_pipeline.ipynb</w:t>
      </w:r>
      <w:r>
        <w:rPr>
          <w:rFonts w:ascii="Calibri" w:cs="Calibri" w:eastAsia="Calibri" w:hAnsi="Calibri"/>
          <w:sz w:val="22"/>
          <w:szCs w:val="22"/>
        </w:rPr>
        <w:t xml:space="preserve"> sampai </w:t>
      </w:r>
      <w:r>
        <w:rPr>
          <w:rFonts w:ascii="Consolas" w:cs="Consolas" w:eastAsia="Consolas" w:hAnsi="Consolas"/>
          <w:color w:val="8A3B00"/>
          <w:sz w:val="20"/>
          <w:szCs w:val="20"/>
        </w:rPr>
        <w:t xml:space="preserve">05_transfer_custom_head.ipynb</w:t>
      </w:r>
      <w:r>
        <w:rPr>
          <w:rFonts w:ascii="Calibri" w:cs="Calibri" w:eastAsia="Calibri" w:hAnsi="Calibri"/>
          <w:sz w:val="22"/>
          <w:szCs w:val="22"/>
        </w:rPr>
        <w:t xml:space="preserve">, notebook perbandingan arsitektur yang menjadi dasar pengambilan keputusan memilih ResNet18 transfer learning sebagai arsitektur produksi (lihat bagian Alur Eksperimen).</w:t>
      </w:r>
    </w:p>
    <w:p>
      <w:pPr>
        <w:pStyle w:val="Heading2"/>
        <w:spacing w:after="100" w:before="220"/>
      </w:pPr>
      <w:r>
        <w:t xml:space="preserve">Aplikasi iOS (“IOTN-AC App”, SwiftUI dan MVVM, dikelola XcodeGen)</w:t>
      </w:r>
    </w:p>
    <w:p>
      <w:pPr>
        <w:pStyle w:val="ListParagraph"/>
        <w:numPr>
          <w:ilvl w:val="0"/>
          <w:numId w:val="2"/>
        </w:numPr>
        <w:spacing w:after="60"/>
      </w:pPr>
      <w:r>
        <w:rPr>
          <w:rFonts w:ascii="Calibri" w:cs="Calibri" w:eastAsia="Calibri" w:hAnsi="Calibri"/>
          <w:sz w:val="22"/>
          <w:szCs w:val="22"/>
        </w:rPr>
        <w:t xml:space="preserve">Sources/Services/ACRegressor.swift, wrapper Core ML yang menangani pra-pemrosesan, inferensi, penolakan OOD, kalibrasi, dan confidence.</w:t>
      </w:r>
    </w:p>
    <w:p>
      <w:pPr>
        <w:pStyle w:val="ListParagraph"/>
        <w:numPr>
          <w:ilvl w:val="0"/>
          <w:numId w:val="2"/>
        </w:numPr>
        <w:spacing w:after="60"/>
      </w:pPr>
      <w:r>
        <w:rPr>
          <w:rFonts w:ascii="Calibri" w:cs="Calibri" w:eastAsia="Calibri" w:hAnsi="Calibri"/>
          <w:sz w:val="22"/>
          <w:szCs w:val="22"/>
        </w:rPr>
        <w:t xml:space="preserve">Sources/Services/UIImage+Orientation.swift, helper normalisasi orientasi EXIF.</w:t>
      </w:r>
    </w:p>
    <w:p>
      <w:pPr>
        <w:pStyle w:val="ListParagraph"/>
        <w:numPr>
          <w:ilvl w:val="0"/>
          <w:numId w:val="2"/>
        </w:numPr>
        <w:spacing w:after="60"/>
      </w:pPr>
      <w:r>
        <w:rPr>
          <w:rFonts w:ascii="Calibri" w:cs="Calibri" w:eastAsia="Calibri" w:hAnsi="Calibri"/>
          <w:sz w:val="22"/>
          <w:szCs w:val="22"/>
        </w:rPr>
        <w:t xml:space="preserve">Sources/ViewModels/ACViewModel.swift, view model MVVM.</w:t>
      </w:r>
    </w:p>
    <w:p>
      <w:pPr>
        <w:pStyle w:val="ListParagraph"/>
        <w:numPr>
          <w:ilvl w:val="0"/>
          <w:numId w:val="2"/>
        </w:numPr>
        <w:spacing w:after="60"/>
      </w:pPr>
      <w:r>
        <w:rPr>
          <w:rFonts w:ascii="Calibri" w:cs="Calibri" w:eastAsia="Calibri" w:hAnsi="Calibri"/>
          <w:sz w:val="22"/>
          <w:szCs w:val="22"/>
        </w:rPr>
        <w:t xml:space="preserve">Sources/Views/ResultView.swift, menampilkan skor, confidence, dan deskripsi tingkat keparahan.</w:t>
      </w:r>
    </w:p>
    <w:p>
      <w:pPr>
        <w:pStyle w:val="ListParagraph"/>
        <w:numPr>
          <w:ilvl w:val="0"/>
          <w:numId w:val="2"/>
        </w:numPr>
        <w:spacing w:after="60"/>
      </w:pPr>
      <w:r>
        <w:rPr>
          <w:rFonts w:ascii="Calibri" w:cs="Calibri" w:eastAsia="Calibri" w:hAnsi="Calibri"/>
          <w:sz w:val="22"/>
          <w:szCs w:val="22"/>
        </w:rPr>
        <w:t xml:space="preserve">MLModels/ACGrader.mlpackage dan ACGrader_config.json, model deployed dan konfigurasi pendampingnya.</w:t>
      </w:r>
    </w:p>
    <w:p>
      <w:pPr>
        <w:pStyle w:val="ListParagraph"/>
        <w:numPr>
          <w:ilvl w:val="0"/>
          <w:numId w:val="2"/>
        </w:numPr>
        <w:spacing w:after="60"/>
      </w:pPr>
      <w:r>
        <w:rPr>
          <w:rFonts w:ascii="Calibri" w:cs="Calibri" w:eastAsia="Calibri" w:hAnsi="Calibri"/>
          <w:sz w:val="22"/>
          <w:szCs w:val="22"/>
        </w:rPr>
        <w:t xml:space="preserve">project.yml, spesifikasi XcodeGen. Jalankan “xcodegen generate” setelah menambah atau menghapus source file.</w:t>
      </w:r>
    </w:p>
    <w:p>
      <w:pPr>
        <w:pStyle w:val="Heading2"/>
        <w:spacing w:after="100" w:before="220"/>
      </w:pPr>
      <w:r>
        <w:t xml:space="preserve">Mengembangkan modul ini lebih lanjut</w:t>
      </w:r>
    </w:p>
    <w:p>
      <w:pPr>
        <w:spacing w:after="140"/>
      </w:pPr>
      <w:r>
        <w:rPr>
          <w:rFonts w:ascii="Calibri" w:cs="Calibri" w:eastAsia="Calibri" w:hAnsi="Calibri"/>
          <w:sz w:val="22"/>
          <w:szCs w:val="22"/>
        </w:rPr>
        <w:t xml:space="preserve">Untuk melatih ulang, perbarui “Grade AC by Team.xlsx”, jalankan ulang notebook 10, lalu salin ACGrader.mlpackage dan ACGrader_config.json yang baru ke IOTN-AC App/MLModels/. Notebook 01 sampai 05 tidak perlu dijalankan ulang untuk retraining rutin. Statusnya adalah riwayat eksperimen dan dasar pengambilan keputusan arsitektur, bukan bagian dari pipeline produksi.</w:t>
      </w:r>
    </w:p>
    <w:p>
      <w:r>
        <w:br w:type="page"/>
      </w:r>
    </w:p>
    <w:p>
      <w:pPr>
        <w:pStyle w:val="Heading1"/>
        <w:spacing w:after="140" w:before="320"/>
      </w:pPr>
      <w:r>
        <w:t xml:space="preserve">Referensi</w:t>
      </w:r>
    </w:p>
    <w:p>
      <w:pPr>
        <w:spacing w:after="100"/>
        <w:ind w:left="431" w:hanging="431"/>
      </w:pPr>
      <w:r>
        <w:rPr>
          <w:rFonts w:ascii="Calibri" w:cs="Calibri" w:eastAsia="Calibri" w:hAnsi="Calibri"/>
          <w:i/>
          <w:iCs/>
          <w:color w:val="444444"/>
          <w:sz w:val="20"/>
          <w:szCs w:val="20"/>
        </w:rPr>
        <w:t xml:space="preserve">Brook, P.H. &amp; Shaw, W.C. (1989). The Development of an Index of Orthodontic Treatment Priority. European Journal of Orthodontics, 11(3), 309 sampai 320.</w:t>
      </w:r>
    </w:p>
    <w:p>
      <w:pPr>
        <w:spacing w:after="100"/>
        <w:ind w:left="431" w:hanging="431"/>
      </w:pPr>
      <w:r>
        <w:rPr>
          <w:rFonts w:ascii="Calibri" w:cs="Calibri" w:eastAsia="Calibri" w:hAnsi="Calibri"/>
          <w:i/>
          <w:iCs/>
          <w:color w:val="444444"/>
          <w:sz w:val="20"/>
          <w:szCs w:val="20"/>
        </w:rPr>
        <w:t xml:space="preserve">Evans, R. &amp; Shaw, W. (1987). Preliminary Evaluation of an Illustrated Scale for Rating Dental Attractiveness. European Journal of Orthodontics, 9(4), 314 sampai 318.</w:t>
      </w:r>
    </w:p>
    <w:p>
      <w:pPr>
        <w:spacing w:after="100"/>
        <w:ind w:left="431" w:hanging="431"/>
      </w:pPr>
      <w:r>
        <w:rPr>
          <w:rFonts w:ascii="Calibri" w:cs="Calibri" w:eastAsia="Calibri" w:hAnsi="Calibri"/>
          <w:i/>
          <w:iCs/>
          <w:color w:val="444444"/>
          <w:sz w:val="20"/>
          <w:szCs w:val="20"/>
        </w:rPr>
        <w:t xml:space="preserve">Cohen, J. (1960). A Coefficient of Agreement for Nominal Scales. Educational and Psychological Measurement, 20(1), 37 sampai 46.</w:t>
      </w:r>
    </w:p>
    <w:p>
      <w:pPr>
        <w:spacing w:after="100"/>
        <w:ind w:left="431" w:hanging="431"/>
      </w:pPr>
      <w:r>
        <w:rPr>
          <w:rFonts w:ascii="Calibri" w:cs="Calibri" w:eastAsia="Calibri" w:hAnsi="Calibri"/>
          <w:i/>
          <w:iCs/>
          <w:color w:val="444444"/>
          <w:sz w:val="20"/>
          <w:szCs w:val="20"/>
        </w:rPr>
        <w:t xml:space="preserve">Cohen, J. (1968). Weighted Kappa: Nominal Scale Agreement with Provision for Scaled Disagreement or Partial Credit. Psychological Bulletin, 70(4), 213 sampai 220.</w:t>
      </w:r>
    </w:p>
    <w:p>
      <w:pPr>
        <w:spacing w:after="100"/>
        <w:ind w:left="431" w:hanging="431"/>
      </w:pPr>
      <w:r>
        <w:rPr>
          <w:rFonts w:ascii="Calibri" w:cs="Calibri" w:eastAsia="Calibri" w:hAnsi="Calibri"/>
          <w:i/>
          <w:iCs/>
          <w:color w:val="444444"/>
          <w:sz w:val="20"/>
          <w:szCs w:val="20"/>
        </w:rPr>
        <w:t xml:space="preserve">Krippendorff, K. Krippendorff's Alpha reliability coefficient, metrik kesepakatan ordinal/multi-rater yang mendukung data yang hilang.</w:t>
      </w:r>
    </w:p>
    <w:p>
      <w:pPr>
        <w:spacing w:after="80"/>
      </w:pPr>
    </w:p>
    <w:p>
      <w:pPr>
        <w:pStyle w:val="Heading2"/>
        <w:spacing w:after="100" w:before="220"/>
      </w:pPr>
      <w:r>
        <w:t xml:space="preserve">Tautan sumber</w:t>
      </w:r>
    </w:p>
    <w:p>
      <w:pPr>
        <w:spacing w:after="100"/>
        <w:ind w:left="431" w:hanging="431"/>
      </w:pPr>
      <w:r>
        <w:rPr>
          <w:rFonts w:ascii="Calibri" w:cs="Calibri" w:eastAsia="Calibri" w:hAnsi="Calibri"/>
          <w:sz w:val="20"/>
          <w:szCs w:val="20"/>
        </w:rPr>
        <w:t xml:space="preserve">Brook &amp; Shaw (1989): </w:t>
      </w:r>
      <w:hyperlink w:history="1" r:id="rIdgyfeu3dbokl5qtt5-uiam">
        <w:r>
          <w:rPr>
            <w:rFonts w:ascii="Calibri" w:cs="Calibri" w:eastAsia="Calibri" w:hAnsi="Calibri"/>
            <w:color w:val="1155CC"/>
            <w:sz w:val="20"/>
            <w:szCs w:val="20"/>
            <w:u w:val="single"/>
          </w:rPr>
          <w:t xml:space="preserve">https://doi.org/10.1093/oxfordjournals.ejo.a035999</w:t>
        </w:r>
      </w:hyperlink>
    </w:p>
    <w:p>
      <w:pPr>
        <w:spacing w:after="100"/>
        <w:ind w:left="431" w:hanging="431"/>
      </w:pPr>
      <w:r>
        <w:rPr>
          <w:rFonts w:ascii="Calibri" w:cs="Calibri" w:eastAsia="Calibri" w:hAnsi="Calibri"/>
          <w:sz w:val="20"/>
          <w:szCs w:val="20"/>
        </w:rPr>
        <w:t xml:space="preserve">Evans &amp; Shaw (1987): </w:t>
      </w:r>
      <w:hyperlink w:history="1" r:id="rIddawrqkur1ue0rvogt72rr">
        <w:r>
          <w:rPr>
            <w:rFonts w:ascii="Calibri" w:cs="Calibri" w:eastAsia="Calibri" w:hAnsi="Calibri"/>
            <w:color w:val="1155CC"/>
            <w:sz w:val="20"/>
            <w:szCs w:val="20"/>
            <w:u w:val="single"/>
          </w:rPr>
          <w:t xml:space="preserve">https://doi.org/10.1093/ejo/9.4.314</w:t>
        </w:r>
      </w:hyperlink>
    </w:p>
    <w:p>
      <w:pPr>
        <w:spacing w:after="100"/>
        <w:ind w:left="431" w:hanging="431"/>
      </w:pPr>
      <w:r>
        <w:rPr>
          <w:rFonts w:ascii="Calibri" w:cs="Calibri" w:eastAsia="Calibri" w:hAnsi="Calibri"/>
          <w:sz w:val="20"/>
          <w:szCs w:val="20"/>
        </w:rPr>
        <w:t xml:space="preserve">Cohen (1960): </w:t>
      </w:r>
      <w:hyperlink w:history="1" r:id="rIdlyahgca_yhkskscyb1o8e">
        <w:r>
          <w:rPr>
            <w:rFonts w:ascii="Calibri" w:cs="Calibri" w:eastAsia="Calibri" w:hAnsi="Calibri"/>
            <w:color w:val="1155CC"/>
            <w:sz w:val="20"/>
            <w:szCs w:val="20"/>
            <w:u w:val="single"/>
          </w:rPr>
          <w:t xml:space="preserve">https://doi.org/10.1177/001316446002000104</w:t>
        </w:r>
      </w:hyperlink>
    </w:p>
    <w:p>
      <w:pPr>
        <w:spacing w:after="100"/>
        <w:ind w:left="431" w:hanging="431"/>
      </w:pPr>
      <w:r>
        <w:rPr>
          <w:rFonts w:ascii="Calibri" w:cs="Calibri" w:eastAsia="Calibri" w:hAnsi="Calibri"/>
          <w:sz w:val="20"/>
          <w:szCs w:val="20"/>
        </w:rPr>
        <w:t xml:space="preserve">Cohen (1968): </w:t>
      </w:r>
      <w:hyperlink w:history="1" r:id="rId6-zcwyjimup_to99phvum">
        <w:r>
          <w:rPr>
            <w:rFonts w:ascii="Calibri" w:cs="Calibri" w:eastAsia="Calibri" w:hAnsi="Calibri"/>
            <w:color w:val="1155CC"/>
            <w:sz w:val="20"/>
            <w:szCs w:val="20"/>
            <w:u w:val="single"/>
          </w:rPr>
          <w:t xml:space="preserve">https://doi.org/10.1037/h0026256</w:t>
        </w:r>
      </w:hyperlink>
    </w:p>
    <w:p>
      <w:pPr>
        <w:spacing w:after="100"/>
        <w:ind w:left="431" w:hanging="431"/>
      </w:pPr>
      <w:r>
        <w:rPr>
          <w:rFonts w:ascii="Calibri" w:cs="Calibri" w:eastAsia="Calibri" w:hAnsi="Calibri"/>
          <w:sz w:val="20"/>
          <w:szCs w:val="20"/>
        </w:rPr>
        <w:t xml:space="preserve">Krippendorff's Alpha (ringkasan dan kalkulator): </w:t>
      </w:r>
      <w:hyperlink w:history="1" r:id="rIdhsjj2vnwvxtqcillkjlcs">
        <w:r>
          <w:rPr>
            <w:rFonts w:ascii="Calibri" w:cs="Calibri" w:eastAsia="Calibri" w:hAnsi="Calibri"/>
            <w:color w:val="1155CC"/>
            <w:sz w:val="20"/>
            <w:szCs w:val="20"/>
            <w:u w:val="single"/>
          </w:rPr>
          <w:t xml:space="preserve">https://en.wikipedia.org/wiki/Krippendorff%27s_alpha</w:t>
        </w:r>
      </w:hyperlink>
    </w:p>
    <w:p>
      <w:pPr>
        <w:spacing w:after="100"/>
        <w:ind w:left="431" w:hanging="431"/>
      </w:pPr>
      <w:r>
        <w:rPr>
          <w:rFonts w:ascii="Calibri" w:cs="Calibri" w:eastAsia="Calibri" w:hAnsi="Calibri"/>
          <w:sz w:val="20"/>
          <w:szCs w:val="20"/>
        </w:rPr>
        <w:t xml:space="preserve">Krippendorff's Alpha, penjelasan tambahan (PMC): </w:t>
      </w:r>
      <w:hyperlink w:history="1" r:id="rIdesq-ftm6ni_pyp2l-6x4w">
        <w:r>
          <w:rPr>
            <w:rFonts w:ascii="Calibri" w:cs="Calibri" w:eastAsia="Calibri" w:hAnsi="Calibri"/>
            <w:color w:val="1155CC"/>
            <w:sz w:val="20"/>
            <w:szCs w:val="20"/>
            <w:u w:val="single"/>
          </w:rPr>
          <w:t xml:space="preserve">https://www.ncbi.nlm.nih.gov/pmc/articles/PMC11636850/</w:t>
        </w:r>
      </w:hyperlink>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pPr>
    <w:rPr>
      <w:rFonts w:ascii="Calibri" w:cs="Calibri" w:eastAsia="Calibri" w:hAnsi="Calibri"/>
      <w:b/>
      <w:bCs/>
      <w:color w:val="1F4E79"/>
      <w:sz w:val="44"/>
      <w:szCs w:val="44"/>
    </w:rPr>
  </w:style>
  <w:style w:type="paragraph" w:styleId="Heading1">
    <w:name w:val="Heading 1"/>
    <w:basedOn w:val="Normal"/>
    <w:next w:val="Normal"/>
    <w:pPr>
      <w:spacing w:after="140" w:before="320"/>
      <w:outlineLvl w:val="0"/>
    </w:pPr>
    <w:rPr>
      <w:rFonts w:ascii="Calibri" w:cs="Calibri" w:eastAsia="Calibri" w:hAnsi="Calibri"/>
      <w:b/>
      <w:bCs/>
      <w:color w:val="1F4E79"/>
      <w:sz w:val="28"/>
      <w:szCs w:val="28"/>
    </w:rPr>
  </w:style>
  <w:style w:type="paragraph" w:styleId="Heading2">
    <w:name w:val="Heading 2"/>
    <w:basedOn w:val="Normal"/>
    <w:next w:val="Normal"/>
    <w:pPr>
      <w:spacing w:after="100" w:before="22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yfeu3dbokl5qtt5-uiam" Type="http://schemas.openxmlformats.org/officeDocument/2006/relationships/hyperlink" Target="https://doi.org/10.1093/oxfordjournals.ejo.a035999" TargetMode="External"/><Relationship Id="rIddawrqkur1ue0rvogt72rr" Type="http://schemas.openxmlformats.org/officeDocument/2006/relationships/hyperlink" Target="https://doi.org/10.1093/ejo/9.4.314" TargetMode="External"/><Relationship Id="rIdlyahgca_yhkskscyb1o8e" Type="http://schemas.openxmlformats.org/officeDocument/2006/relationships/hyperlink" Target="https://doi.org/10.1177/001316446002000104" TargetMode="External"/><Relationship Id="rId6-zcwyjimup_to99phvum" Type="http://schemas.openxmlformats.org/officeDocument/2006/relationships/hyperlink" Target="https://doi.org/10.1037/h0026256" TargetMode="External"/><Relationship Id="rIdhsjj2vnwvxtqcillkjlcs" Type="http://schemas.openxmlformats.org/officeDocument/2006/relationships/hyperlink" Target="https://en.wikipedia.org/wiki/Krippendorff%27s_alpha" TargetMode="External"/><Relationship Id="rIdesq-ftm6ni_pyp2l-6x4w" Type="http://schemas.openxmlformats.org/officeDocument/2006/relationships/hyperlink" Target="https://www.ncbi.nlm.nih.gov/pmc/articles/PMC11636850/"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2026-08-12T07:50:30.301Z</dcterms:created>
  <dcterms:modified xsi:type="dcterms:W3CDTF">2026-08-12T07:50:30.301Z</dcterms:modified>
</cp:coreProperties>
</file>

<file path=docProps/custom.xml><?xml version="1.0" encoding="utf-8"?>
<Properties xmlns="http://schemas.openxmlformats.org/officeDocument/2006/custom-properties" xmlns:vt="http://schemas.openxmlformats.org/officeDocument/2006/docPropsVTypes"/>
</file>