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0"/>
      </w:pPr>
      <w:r>
        <w:t xml:space="preserve">Project Handover Document</w:t>
      </w:r>
    </w:p>
    <w:p>
      <w:pPr>
        <w:spacing w:after="140"/>
      </w:pPr>
      <w:r>
        <w:rPr>
          <w:rFonts w:ascii="Calibri" w:cs="Calibri" w:eastAsia="Calibri" w:hAnsi="Calibri"/>
          <w:b/>
          <w:bCs/>
          <w:i/>
          <w:iCs/>
          <w:color w:val="555555"/>
          <w:sz w:val="22"/>
          <w:szCs w:val="22"/>
        </w:rPr>
        <w:t xml:space="preserve">IOTN-AC Module — Aesthetic Component Scoring from Frontal Intraoral Photos</w:t>
      </w:r>
    </w:p>
    <w:p>
      <w:pPr>
        <w:pBdr>
          <w:bottom w:val="single" w:color="CCCCCC" w:sz="6" w:space="1"/>
        </w:pBdr>
        <w:spacing w:after="200" w:before="100"/>
      </w:pPr>
    </w:p>
    <w:p>
      <w:pPr>
        <w:pStyle w:val="Heading1"/>
        <w:spacing w:after="140" w:before="280"/>
      </w:pPr>
      <w:r>
        <w:t xml:space="preserve">Project Information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F2F6FA" w:val="clear"/>
            <w:tcMar>
              <w:top w:type="dxa" w:w="100"/>
              <w:left w:type="dxa" w:w="120"/>
              <w:bottom w:type="dxa" w:w="100"/>
              <w:right w:type="dxa" w:w="120"/>
            </w:tcMar>
          </w:tcPr>
          <w:p>
            <w:r>
              <w:rPr>
                <w:rFonts w:ascii="Calibri" w:cs="Calibri" w:eastAsia="Calibri" w:hAnsi="Calibri"/>
                <w:b/>
                <w:bCs/>
                <w:sz w:val="22"/>
                <w:szCs w:val="22"/>
              </w:rPr>
              <w:t xml:space="preserve">PROJECT NAME</w:t>
            </w:r>
          </w:p>
        </w:tc>
        <w:tc>
          <w:tcPr>
            <w:tcW w:type="dxa" w:w="6300"/>
            <w:tcMar>
              <w:top w:type="dxa" w:w="100"/>
              <w:left w:type="dxa" w:w="120"/>
              <w:bottom w:type="dxa" w:w="100"/>
              <w:right w:type="dxa" w:w="120"/>
            </w:tcMar>
          </w:tcPr>
          <w:p>
            <w:r>
              <w:rPr>
                <w:rFonts w:ascii="Calibri" w:cs="Calibri" w:eastAsia="Calibri" w:hAnsi="Calibri"/>
                <w:sz w:val="22"/>
                <w:szCs w:val="22"/>
              </w:rPr>
              <w:t xml:space="preserve">IOTN Aesthetic Component (AC) Scoring Module — part of Malocclusion and IOTN Assessment Application from 5 Intraoral Photos</w:t>
            </w:r>
          </w:p>
        </w:tc>
      </w:tr>
      <w:tr>
        <w:tc>
          <w:tcPr>
            <w:tcW w:type="dxa" w:w="3200"/>
            <w:shd w:fill="F2F6FA" w:val="clear"/>
            <w:tcMar>
              <w:top w:type="dxa" w:w="100"/>
              <w:left w:type="dxa" w:w="120"/>
              <w:bottom w:type="dxa" w:w="100"/>
              <w:right w:type="dxa" w:w="120"/>
            </w:tcMar>
          </w:tcPr>
          <w:p>
            <w:r>
              <w:rPr>
                <w:rFonts w:ascii="Calibri" w:cs="Calibri" w:eastAsia="Calibri" w:hAnsi="Calibri"/>
                <w:b/>
                <w:bCs/>
                <w:sz w:val="22"/>
                <w:szCs w:val="22"/>
              </w:rPr>
              <w:t xml:space="preserve">MODULE SCOPE</w:t>
            </w:r>
          </w:p>
        </w:tc>
        <w:tc>
          <w:tcPr>
            <w:tcW w:type="dxa" w:w="6300"/>
            <w:tcMar>
              <w:top w:type="dxa" w:w="100"/>
              <w:left w:type="dxa" w:w="120"/>
              <w:bottom w:type="dxa" w:w="100"/>
              <w:right w:type="dxa" w:w="120"/>
            </w:tcMar>
          </w:tcPr>
          <w:p>
            <w:r>
              <w:rPr>
                <w:rFonts w:ascii="Calibri" w:cs="Calibri" w:eastAsia="Calibri" w:hAnsi="Calibri"/>
                <w:sz w:val="22"/>
                <w:szCs w:val="22"/>
              </w:rPr>
              <w:t xml:space="preserve">Frontal intraoral view only. IOTN-DHC / MOCDO and the remaining 4 views are handled by other team members.</w:t>
            </w:r>
          </w:p>
        </w:tc>
      </w:tr>
      <w:tr>
        <w:tc>
          <w:tcPr>
            <w:tcW w:type="dxa" w:w="3200"/>
            <w:shd w:fill="F2F6FA" w:val="clear"/>
            <w:tcMar>
              <w:top w:type="dxa" w:w="100"/>
              <w:left w:type="dxa" w:w="120"/>
              <w:bottom w:type="dxa" w:w="100"/>
              <w:right w:type="dxa" w:w="120"/>
            </w:tcMar>
          </w:tcPr>
          <w:p>
            <w:r>
              <w:rPr>
                <w:rFonts w:ascii="Calibri" w:cs="Calibri" w:eastAsia="Calibri" w:hAnsi="Calibri"/>
                <w:b/>
                <w:bCs/>
                <w:sz w:val="22"/>
                <w:szCs w:val="22"/>
              </w:rPr>
              <w:t xml:space="preserve">PROJECT CONTRIBUTOR</w:t>
            </w:r>
          </w:p>
        </w:tc>
        <w:tc>
          <w:tcPr>
            <w:tcW w:type="dxa" w:w="6300"/>
            <w:tcMar>
              <w:top w:type="dxa" w:w="100"/>
              <w:left w:type="dxa" w:w="120"/>
              <w:bottom w:type="dxa" w:w="100"/>
              <w:right w:type="dxa" w:w="120"/>
            </w:tcMar>
          </w:tcPr>
          <w:p>
            <w:r>
              <w:rPr>
                <w:rFonts w:ascii="Calibri" w:cs="Calibri" w:eastAsia="Calibri" w:hAnsi="Calibri"/>
                <w:sz w:val="22"/>
                <w:szCs w:val="22"/>
              </w:rPr>
              <w:t xml:space="preserve">Nana</w:t>
            </w:r>
          </w:p>
        </w:tc>
      </w:tr>
      <w:tr>
        <w:tc>
          <w:tcPr>
            <w:tcW w:type="dxa" w:w="3200"/>
            <w:shd w:fill="F2F6FA" w:val="clear"/>
            <w:tcMar>
              <w:top w:type="dxa" w:w="100"/>
              <w:left w:type="dxa" w:w="120"/>
              <w:bottom w:type="dxa" w:w="100"/>
              <w:right w:type="dxa" w:w="120"/>
            </w:tcMar>
          </w:tcPr>
          <w:p>
            <w:r>
              <w:rPr>
                <w:rFonts w:ascii="Calibri" w:cs="Calibri" w:eastAsia="Calibri" w:hAnsi="Calibri"/>
                <w:b/>
                <w:bCs/>
                <w:sz w:val="22"/>
                <w:szCs w:val="22"/>
              </w:rPr>
              <w:t xml:space="preserve">STAKEHOLDER</w:t>
            </w:r>
          </w:p>
        </w:tc>
        <w:tc>
          <w:tcPr>
            <w:tcW w:type="dxa" w:w="6300"/>
            <w:tcMar>
              <w:top w:type="dxa" w:w="100"/>
              <w:left w:type="dxa" w:w="120"/>
              <w:bottom w:type="dxa" w:w="100"/>
              <w:right w:type="dxa" w:w="120"/>
            </w:tcMar>
          </w:tcPr>
          <w:p>
            <w:r>
              <w:rPr>
                <w:rFonts w:ascii="Calibri" w:cs="Calibri" w:eastAsia="Calibri" w:hAnsi="Calibri"/>
                <w:sz w:val="22"/>
                <w:szCs w:val="22"/>
              </w:rPr>
              <w:t xml:space="preserve">drg. Maria Laurentia Sanjaya, Sp.Orto</w:t>
            </w:r>
          </w:p>
        </w:tc>
      </w:tr>
      <w:tr>
        <w:tc>
          <w:tcPr>
            <w:tcW w:type="dxa" w:w="3200"/>
            <w:shd w:fill="F2F6FA" w:val="clear"/>
            <w:tcMar>
              <w:top w:type="dxa" w:w="100"/>
              <w:left w:type="dxa" w:w="120"/>
              <w:bottom w:type="dxa" w:w="100"/>
              <w:right w:type="dxa" w:w="120"/>
            </w:tcMar>
          </w:tcPr>
          <w:p>
            <w:r>
              <w:rPr>
                <w:rFonts w:ascii="Calibri" w:cs="Calibri" w:eastAsia="Calibri" w:hAnsi="Calibri"/>
                <w:b/>
                <w:bCs/>
                <w:sz w:val="22"/>
                <w:szCs w:val="22"/>
              </w:rPr>
              <w:t xml:space="preserve">PROJECT PERIOD</w:t>
            </w:r>
          </w:p>
        </w:tc>
        <w:tc>
          <w:tcPr>
            <w:tcW w:type="dxa" w:w="6300"/>
            <w:tcMar>
              <w:top w:type="dxa" w:w="100"/>
              <w:left w:type="dxa" w:w="120"/>
              <w:bottom w:type="dxa" w:w="100"/>
              <w:right w:type="dxa" w:w="120"/>
            </w:tcMar>
          </w:tcPr>
          <w:p>
            <w:r>
              <w:rPr>
                <w:rFonts w:ascii="Calibri" w:cs="Calibri" w:eastAsia="Calibri" w:hAnsi="Calibri"/>
                <w:sz w:val="22"/>
                <w:szCs w:val="22"/>
              </w:rPr>
              <w:t xml:space="preserve">Start date: …        End date: … (fill in before submission)</w:t>
            </w:r>
          </w:p>
        </w:tc>
      </w:tr>
    </w:tbl>
    <w:p>
      <w:pPr>
        <w:spacing w:after="120"/>
      </w:pPr>
    </w:p>
    <w:p>
      <w:pPr>
        <w:pStyle w:val="Heading2"/>
        <w:spacing w:after="100" w:before="200"/>
      </w:pPr>
      <w:r>
        <w:t xml:space="preserve">Deliverable Checklist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800"/>
        <w:gridCol w:w="3700"/>
      </w:tblGrid>
      <w:tr>
        <w:trPr>
          <w:tblHeader/>
        </w:trPr>
        <w:tc>
          <w:tcPr>
            <w:tcW w:type="dxa" w:w="5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Item</w:t>
            </w:r>
          </w:p>
        </w:tc>
        <w:tc>
          <w:tcPr>
            <w:tcW w:type="dxa" w:w="37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Location</w:t>
            </w:r>
          </w:p>
        </w:tc>
      </w:tr>
      <w:tr>
        <w:tc>
          <w:tcPr>
            <w:tcW w:type="dxa" w:w="5800"/>
            <w:tcMar>
              <w:top w:type="dxa" w:w="80"/>
              <w:left w:type="dxa" w:w="100"/>
              <w:bottom w:type="dxa" w:w="80"/>
              <w:right w:type="dxa" w:w="100"/>
            </w:tcMar>
          </w:tcPr>
          <w:p>
            <w:r>
              <w:rPr>
                <w:rFonts w:ascii="Calibri" w:cs="Calibri" w:eastAsia="Calibri" w:hAnsi="Calibri"/>
                <w:sz w:val="20"/>
                <w:szCs w:val="20"/>
              </w:rPr>
              <w:t xml:space="preserve">Raw Data (OMNI front-teeth dataset, 3-annotator labels)</w:t>
            </w:r>
          </w:p>
        </w:tc>
        <w:tc>
          <w:tcPr>
            <w:tcW w:type="dxa" w:w="3700"/>
            <w:tcMar>
              <w:top w:type="dxa" w:w="80"/>
              <w:left w:type="dxa" w:w="100"/>
              <w:bottom w:type="dxa" w:w="80"/>
              <w:right w:type="dxa" w:w="100"/>
            </w:tcMar>
          </w:tcPr>
          <w:p>
            <w:r>
              <w:rPr>
                <w:rFonts w:ascii="Calibri" w:cs="Calibri" w:eastAsia="Calibri" w:hAnsi="Calibri"/>
                <w:sz w:val="20"/>
                <w:szCs w:val="20"/>
              </w:rPr>
              <w:t xml:space="preserve">IOTN-AC/data/raw, IOTN-AC/data/labels</w:t>
            </w:r>
          </w:p>
        </w:tc>
      </w:tr>
      <w:tr>
        <w:tc>
          <w:tcPr>
            <w:tcW w:type="dxa" w:w="5800"/>
            <w:tcMar>
              <w:top w:type="dxa" w:w="80"/>
              <w:left w:type="dxa" w:w="100"/>
              <w:bottom w:type="dxa" w:w="80"/>
              <w:right w:type="dxa" w:w="100"/>
            </w:tcMar>
          </w:tcPr>
          <w:p>
            <w:r>
              <w:rPr>
                <w:rFonts w:ascii="Calibri" w:cs="Calibri" w:eastAsia="Calibri" w:hAnsi="Calibri"/>
                <w:sz w:val="20"/>
                <w:szCs w:val="20"/>
              </w:rPr>
              <w:t xml:space="preserve">Preprocessed Data (masked / masked_crop teeth ROI)</w:t>
            </w:r>
          </w:p>
        </w:tc>
        <w:tc>
          <w:tcPr>
            <w:tcW w:type="dxa" w:w="3700"/>
            <w:tcMar>
              <w:top w:type="dxa" w:w="80"/>
              <w:left w:type="dxa" w:w="100"/>
              <w:bottom w:type="dxa" w:w="80"/>
              <w:right w:type="dxa" w:w="100"/>
            </w:tcMar>
          </w:tcPr>
          <w:p>
            <w:r>
              <w:rPr>
                <w:rFonts w:ascii="Calibri" w:cs="Calibri" w:eastAsia="Calibri" w:hAnsi="Calibri"/>
                <w:sz w:val="20"/>
                <w:szCs w:val="20"/>
              </w:rPr>
              <w:t xml:space="preserve">IOTN-AC/data/masked, IOTN-AC/data/masked_crop</w:t>
            </w:r>
          </w:p>
        </w:tc>
      </w:tr>
      <w:tr>
        <w:tc>
          <w:tcPr>
            <w:tcW w:type="dxa" w:w="5800"/>
            <w:tcMar>
              <w:top w:type="dxa" w:w="80"/>
              <w:left w:type="dxa" w:w="100"/>
              <w:bottom w:type="dxa" w:w="80"/>
              <w:right w:type="dxa" w:w="100"/>
            </w:tcMar>
          </w:tcPr>
          <w:p>
            <w:r>
              <w:rPr>
                <w:rFonts w:ascii="Calibri" w:cs="Calibri" w:eastAsia="Calibri" w:hAnsi="Calibri"/>
                <w:sz w:val="20"/>
                <w:szCs w:val="20"/>
              </w:rPr>
              <w:t xml:space="preserve">Model Experiment Notebooks (01–15)</w:t>
            </w:r>
          </w:p>
        </w:tc>
        <w:tc>
          <w:tcPr>
            <w:tcW w:type="dxa" w:w="3700"/>
            <w:tcMar>
              <w:top w:type="dxa" w:w="80"/>
              <w:left w:type="dxa" w:w="100"/>
              <w:bottom w:type="dxa" w:w="80"/>
              <w:right w:type="dxa" w:w="100"/>
            </w:tcMar>
          </w:tcPr>
          <w:p>
            <w:r>
              <w:rPr>
                <w:rFonts w:ascii="Calibri" w:cs="Calibri" w:eastAsia="Calibri" w:hAnsi="Calibri"/>
                <w:sz w:val="20"/>
                <w:szCs w:val="20"/>
              </w:rPr>
              <w:t xml:space="preserve">IOTN-AC/notebooks/</w:t>
            </w:r>
          </w:p>
        </w:tc>
      </w:tr>
      <w:tr>
        <w:tc>
          <w:tcPr>
            <w:tcW w:type="dxa" w:w="5800"/>
            <w:tcMar>
              <w:top w:type="dxa" w:w="80"/>
              <w:left w:type="dxa" w:w="100"/>
              <w:bottom w:type="dxa" w:w="80"/>
              <w:right w:type="dxa" w:w="100"/>
            </w:tcMar>
          </w:tcPr>
          <w:p>
            <w:r>
              <w:rPr>
                <w:rFonts w:ascii="Calibri" w:cs="Calibri" w:eastAsia="Calibri" w:hAnsi="Calibri"/>
                <w:sz w:val="20"/>
                <w:szCs w:val="20"/>
              </w:rPr>
              <w:t xml:space="preserve">Final AC Model (Core ML)</w:t>
            </w:r>
          </w:p>
        </w:tc>
        <w:tc>
          <w:tcPr>
            <w:tcW w:type="dxa" w:w="3700"/>
            <w:tcMar>
              <w:top w:type="dxa" w:w="80"/>
              <w:left w:type="dxa" w:w="100"/>
              <w:bottom w:type="dxa" w:w="80"/>
              <w:right w:type="dxa" w:w="100"/>
            </w:tcMar>
          </w:tcPr>
          <w:p>
            <w:r>
              <w:rPr>
                <w:rFonts w:ascii="Calibri" w:cs="Calibri" w:eastAsia="Calibri" w:hAnsi="Calibri"/>
                <w:sz w:val="20"/>
                <w:szCs w:val="20"/>
              </w:rPr>
              <w:t xml:space="preserve">IOTN-AC/models/ACGrader.mlpackage + ACGrader_config.json</w:t>
            </w:r>
          </w:p>
        </w:tc>
      </w:tr>
      <w:tr>
        <w:tc>
          <w:tcPr>
            <w:tcW w:type="dxa" w:w="5800"/>
            <w:tcMar>
              <w:top w:type="dxa" w:w="80"/>
              <w:left w:type="dxa" w:w="100"/>
              <w:bottom w:type="dxa" w:w="80"/>
              <w:right w:type="dxa" w:w="100"/>
            </w:tcMar>
          </w:tcPr>
          <w:p>
            <w:r>
              <w:rPr>
                <w:rFonts w:ascii="Calibri" w:cs="Calibri" w:eastAsia="Calibri" w:hAnsi="Calibri"/>
                <w:sz w:val="20"/>
                <w:szCs w:val="20"/>
              </w:rPr>
              <w:t xml:space="preserve">Apps Source Code (iOS, SwiftUI/MVVM)</w:t>
            </w:r>
          </w:p>
        </w:tc>
        <w:tc>
          <w:tcPr>
            <w:tcW w:type="dxa" w:w="3700"/>
            <w:tcMar>
              <w:top w:type="dxa" w:w="80"/>
              <w:left w:type="dxa" w:w="100"/>
              <w:bottom w:type="dxa" w:w="80"/>
              <w:right w:type="dxa" w:w="100"/>
            </w:tcMar>
          </w:tcPr>
          <w:p>
            <w:r>
              <w:rPr>
                <w:rFonts w:ascii="Calibri" w:cs="Calibri" w:eastAsia="Calibri" w:hAnsi="Calibri"/>
                <w:sz w:val="20"/>
                <w:szCs w:val="20"/>
              </w:rPr>
              <w:t xml:space="preserve">IOTN-AC App/Sources/</w:t>
            </w:r>
          </w:p>
        </w:tc>
      </w:tr>
      <w:tr>
        <w:tc>
          <w:tcPr>
            <w:tcW w:type="dxa" w:w="5800"/>
            <w:tcMar>
              <w:top w:type="dxa" w:w="80"/>
              <w:left w:type="dxa" w:w="100"/>
              <w:bottom w:type="dxa" w:w="80"/>
              <w:right w:type="dxa" w:w="100"/>
            </w:tcMar>
          </w:tcPr>
          <w:p>
            <w:r>
              <w:rPr>
                <w:rFonts w:ascii="Calibri" w:cs="Calibri" w:eastAsia="Calibri" w:hAnsi="Calibri"/>
                <w:sz w:val="20"/>
                <w:szCs w:val="20"/>
              </w:rPr>
              <w:t xml:space="preserve">License</w:t>
            </w:r>
          </w:p>
        </w:tc>
        <w:tc>
          <w:tcPr>
            <w:tcW w:type="dxa" w:w="3700"/>
            <w:tcMar>
              <w:top w:type="dxa" w:w="80"/>
              <w:left w:type="dxa" w:w="100"/>
              <w:bottom w:type="dxa" w:w="80"/>
              <w:right w:type="dxa" w:w="100"/>
            </w:tcMar>
          </w:tcPr>
          <w:p>
            <w:r>
              <w:rPr>
                <w:rFonts w:ascii="Calibri" w:cs="Calibri" w:eastAsia="Calibri" w:hAnsi="Calibri"/>
                <w:sz w:val="20"/>
                <w:szCs w:val="20"/>
              </w:rPr>
              <w:t xml:space="preserve">Link to artifact location — fill in</w:t>
            </w:r>
          </w:p>
        </w:tc>
      </w:tr>
      <w:tr>
        <w:tc>
          <w:tcPr>
            <w:tcW w:type="dxa" w:w="5800"/>
            <w:tcMar>
              <w:top w:type="dxa" w:w="80"/>
              <w:left w:type="dxa" w:w="100"/>
              <w:bottom w:type="dxa" w:w="80"/>
              <w:right w:type="dxa" w:w="100"/>
            </w:tcMar>
          </w:tcPr>
          <w:p>
            <w:r>
              <w:rPr>
                <w:rFonts w:ascii="Calibri" w:cs="Calibri" w:eastAsia="Calibri" w:hAnsi="Calibri"/>
                <w:sz w:val="20"/>
                <w:szCs w:val="20"/>
              </w:rPr>
              <w:t xml:space="preserve">Access Ownership</w:t>
            </w:r>
          </w:p>
        </w:tc>
        <w:tc>
          <w:tcPr>
            <w:tcW w:type="dxa" w:w="3700"/>
            <w:tcMar>
              <w:top w:type="dxa" w:w="80"/>
              <w:left w:type="dxa" w:w="100"/>
              <w:bottom w:type="dxa" w:w="80"/>
              <w:right w:type="dxa" w:w="100"/>
            </w:tcMar>
          </w:tcPr>
          <w:p>
            <w:r>
              <w:rPr>
                <w:rFonts w:ascii="Calibri" w:cs="Calibri" w:eastAsia="Calibri" w:hAnsi="Calibri"/>
                <w:sz w:val="20"/>
                <w:szCs w:val="20"/>
              </w:rPr>
              <w:t xml:space="preserve">Link to artifact location — fill in</w:t>
            </w:r>
          </w:p>
        </w:tc>
      </w:tr>
    </w:tbl>
    <w:p>
      <w:r>
        <w:br w:type="page"/>
      </w:r>
    </w:p>
    <w:p>
      <w:pPr>
        <w:pStyle w:val="Title"/>
        <w:spacing w:after="200" w:before="0"/>
      </w:pPr>
      <w:r>
        <w:t xml:space="preserve">Executive Summary</w:t>
      </w:r>
    </w:p>
    <w:p>
      <w:pPr>
        <w:spacing w:after="140"/>
      </w:pPr>
      <w:r>
        <w:rPr>
          <w:rFonts w:ascii="Calibri" w:cs="Calibri" w:eastAsia="Calibri" w:hAnsi="Calibri"/>
          <w:sz w:val="22"/>
          <w:szCs w:val="22"/>
        </w:rPr>
        <w:t xml:space="preserve">This module predicts the IOTN Aesthetic Component (AC) — a 1–10 ordinal score describing how much a patient's dental appearance from the frontal view deviates from an ideal smile — directly from a single frontal intraoral photo. The problem: AC scoring is normally done by a clinician comparing a patient's teeth against 10 reference photos, which is subjective and requires clinical training. The solution: a ResNet-18 regression model trained on photos labeled independently by three annotators (mean-consensus target), deployed on-device via Core ML inside an iOS app. The final model reaches an out-of-fold Quadratic Weighted Kappa (QWK) of 0.838 (MAE 0.962, ±1-grade accuracy 79.1%), against a human inter-annotator agreement ceiling of QWK 0.918 — i.e. the model performs close to the practical upper bound set by the annotators themselves. The deployed app takes a full frontal photo, rejects out-of-distribution (non-intraoral) images automatically, and returns a calibrated AC score with a plain-language confidence and severity description.</w:t>
      </w:r>
    </w:p>
    <w:p>
      <w:pPr>
        <w:pStyle w:val="Title"/>
        <w:spacing w:after="200" w:before="0"/>
      </w:pPr>
      <w:r>
        <w:t xml:space="preserve">Project Overview</w:t>
      </w:r>
    </w:p>
    <w:p>
      <w:pPr>
        <w:pStyle w:val="Heading1"/>
        <w:spacing w:after="140" w:before="280"/>
      </w:pPr>
      <w:r>
        <w:t xml:space="preserve">Problem Statement</w:t>
      </w:r>
    </w:p>
    <w:p>
      <w:pPr>
        <w:spacing w:after="140"/>
      </w:pPr>
      <w:r>
        <w:rPr>
          <w:rFonts w:ascii="Calibri" w:cs="Calibri" w:eastAsia="Calibri" w:hAnsi="Calibri"/>
          <w:sz w:val="22"/>
          <w:szCs w:val="22"/>
        </w:rPr>
        <w:t xml:space="preserve">Orthodontic treatment-need triage using IOTN-AC requires a trained clinician to visually compare a patient's frontal dental photo against 10 standardized reference images and assign a 1–10 score. This is time-consuming, subjective (inter-rater variation exists even among trained annotators), and not scalable for a self-service or pre-screening context. The goal of this module is to automate AC scoring from a single frontal intraoral photo, producing a score that is consistent, fast, and close to expert-level agreement — while being honest about photos it cannot confidently assess.</w:t>
      </w:r>
    </w:p>
    <w:p>
      <w:pPr>
        <w:pStyle w:val="Heading1"/>
        <w:spacing w:after="140" w:before="280"/>
      </w:pPr>
      <w:r>
        <w:t xml:space="preserve">Solution</w:t>
      </w:r>
    </w:p>
    <w:p>
      <w:pPr>
        <w:pStyle w:val="ListParagraph"/>
        <w:numPr>
          <w:ilvl w:val="0"/>
          <w:numId w:val="2"/>
        </w:numPr>
        <w:spacing w:after="60"/>
      </w:pPr>
      <w:r>
        <w:rPr>
          <w:rFonts w:ascii="Calibri" w:cs="Calibri" w:eastAsia="Calibri" w:hAnsi="Calibri"/>
          <w:sz w:val="22"/>
          <w:szCs w:val="22"/>
        </w:rPr>
        <w:t xml:space="preserve">Collected AC labels (1–10) from 3 independent annotators on the OMNI front-teeth photo dataset, and used the mean of the three ratings as the training target (empirically the best-performing consensus method out of mean / median / majority-vote / soft-label).</w:t>
      </w:r>
    </w:p>
    <w:p>
      <w:pPr>
        <w:pStyle w:val="ListParagraph"/>
        <w:numPr>
          <w:ilvl w:val="0"/>
          <w:numId w:val="2"/>
        </w:numPr>
        <w:spacing w:after="60"/>
      </w:pPr>
      <w:r>
        <w:rPr>
          <w:rFonts w:ascii="Calibri" w:cs="Calibri" w:eastAsia="Calibri" w:hAnsi="Calibri"/>
          <w:sz w:val="22"/>
          <w:szCs w:val="22"/>
        </w:rPr>
        <w:t xml:space="preserve">Benchmarked multiple architectures (CORN ordinal regression, custom lightweight CNN, mini-ResNet built from scratch, transfer-learning ResNet18 with a custom regression head) — ResNet18 transfer learning was selected as the best-performing and most efficient option.</w:t>
      </w:r>
    </w:p>
    <w:p>
      <w:pPr>
        <w:pStyle w:val="ListParagraph"/>
        <w:numPr>
          <w:ilvl w:val="0"/>
          <w:numId w:val="2"/>
        </w:numPr>
        <w:spacing w:after="60"/>
      </w:pPr>
      <w:r>
        <w:rPr>
          <w:rFonts w:ascii="Calibri" w:cs="Calibri" w:eastAsia="Calibri" w:hAnsi="Calibri"/>
          <w:sz w:val="22"/>
          <w:szCs w:val="22"/>
        </w:rPr>
        <w:t xml:space="preserve">Ran 5-fold cross-validation for a stable out-of-fold performance estimate, and used ensembling + test-time augmentation (TTA) to squeeze additional generalization out of a limited dataset.</w:t>
      </w:r>
    </w:p>
    <w:p>
      <w:pPr>
        <w:pStyle w:val="ListParagraph"/>
        <w:numPr>
          <w:ilvl w:val="0"/>
          <w:numId w:val="2"/>
        </w:numPr>
        <w:spacing w:after="60"/>
      </w:pPr>
      <w:r>
        <w:rPr>
          <w:rFonts w:ascii="Calibri" w:cs="Calibri" w:eastAsia="Calibri" w:hAnsi="Calibri"/>
          <w:sz w:val="22"/>
          <w:szCs w:val="22"/>
        </w:rPr>
        <w:t xml:space="preserve">Diagnosed the model with confusion matrices, per-annotator/per-grade statistics, and train-vs-validation MAE curves to distinguish an overfitting problem from a fundamentally data-limited one — concluded the current bottleneck is data volume/coverage, particularly for the rare severe grades (9–10), not model capacity.</w:t>
      </w:r>
    </w:p>
    <w:p>
      <w:pPr>
        <w:pStyle w:val="ListParagraph"/>
        <w:numPr>
          <w:ilvl w:val="0"/>
          <w:numId w:val="2"/>
        </w:numPr>
        <w:spacing w:after="60"/>
      </w:pPr>
      <w:r>
        <w:rPr>
          <w:rFonts w:ascii="Calibri" w:cs="Calibri" w:eastAsia="Calibri" w:hAnsi="Calibri"/>
          <w:sz w:val="22"/>
          <w:szCs w:val="22"/>
        </w:rPr>
        <w:t xml:space="preserve">Deployed the final model to iOS via Core ML with an OOD (out-of-distribution) rejection mechanism and score calibration, following the same proven Core ML consumption pattern used by the team's earlier working prototype (direct MLModel.prediction with a CVPixelBuffer input, rather than the Vision framework).</w:t>
      </w:r>
    </w:p>
    <w:p>
      <w:pPr>
        <w:pStyle w:val="Heading1"/>
        <w:spacing w:after="140" w:before="280"/>
      </w:pPr>
      <w:r>
        <w:t xml:space="preserve">Result</w:t>
      </w:r>
    </w:p>
    <w:p>
      <w:pPr>
        <w:spacing w:after="140"/>
      </w:pPr>
      <w:r>
        <w:rPr>
          <w:rFonts w:ascii="Calibri" w:cs="Calibri" w:eastAsia="Calibri" w:hAnsi="Calibri"/>
          <w:sz w:val="22"/>
          <w:szCs w:val="22"/>
        </w:rPr>
        <w:t xml:space="preserve">The app accepts a frontal intraoral photo (via photo picker), runs it through the on-device AC model, and displays:</w:t>
      </w:r>
    </w:p>
    <w:p>
      <w:pPr>
        <w:pStyle w:val="ListParagraph"/>
        <w:numPr>
          <w:ilvl w:val="0"/>
          <w:numId w:val="2"/>
        </w:numPr>
        <w:spacing w:after="60"/>
      </w:pPr>
      <w:r>
        <w:rPr>
          <w:rFonts w:ascii="Calibri" w:cs="Calibri" w:eastAsia="Calibri" w:hAnsi="Calibri"/>
          <w:sz w:val="22"/>
          <w:szCs w:val="22"/>
        </w:rPr>
        <w:t xml:space="preserve">An IOTN-AC score (1–10).</w:t>
      </w:r>
    </w:p>
    <w:p>
      <w:pPr>
        <w:pStyle w:val="ListParagraph"/>
        <w:numPr>
          <w:ilvl w:val="0"/>
          <w:numId w:val="2"/>
        </w:numPr>
        <w:spacing w:after="60"/>
      </w:pPr>
      <w:r>
        <w:rPr>
          <w:rFonts w:ascii="Calibri" w:cs="Calibri" w:eastAsia="Calibri" w:hAnsi="Calibri"/>
          <w:sz w:val="22"/>
          <w:szCs w:val="22"/>
        </w:rPr>
        <w:t xml:space="preserve">A plain-language confidence percentage (probability the true score is within ±1 grade of the predicted one).</w:t>
      </w:r>
    </w:p>
    <w:p>
      <w:pPr>
        <w:pStyle w:val="ListParagraph"/>
        <w:numPr>
          <w:ilvl w:val="0"/>
          <w:numId w:val="2"/>
        </w:numPr>
        <w:spacing w:after="60"/>
      </w:pPr>
      <w:r>
        <w:rPr>
          <w:rFonts w:ascii="Calibri" w:cs="Calibri" w:eastAsia="Calibri" w:hAnsi="Calibri"/>
          <w:sz w:val="22"/>
          <w:szCs w:val="22"/>
        </w:rPr>
        <w:t xml:space="preserve">A short clinical severity description mapped from the score (e.g. “Obvious malocclusion, treatment recommended.”).</w:t>
      </w:r>
    </w:p>
    <w:p>
      <w:pPr>
        <w:pStyle w:val="ListParagraph"/>
        <w:numPr>
          <w:ilvl w:val="0"/>
          <w:numId w:val="2"/>
        </w:numPr>
        <w:spacing w:after="60"/>
      </w:pPr>
      <w:r>
        <w:rPr>
          <w:rFonts w:ascii="Calibri" w:cs="Calibri" w:eastAsia="Calibri" w:hAnsi="Calibri"/>
          <w:sz w:val="22"/>
          <w:szCs w:val="22"/>
        </w:rPr>
        <w:t xml:space="preserve">Automatic rejection with a clear message when the photo is not a valid frontal intraoral image (e.g. no retractor, poor framing, unrelated photo), instead of silently producing a meaningless score.</w:t>
      </w:r>
    </w:p>
    <w:p>
      <w:pPr>
        <w:spacing w:after="140"/>
      </w:pPr>
      <w:r>
        <w:rPr>
          <w:rFonts w:ascii="Calibri" w:cs="Calibri" w:eastAsia="Calibri" w:hAnsi="Calibri"/>
          <w:sz w:val="22"/>
          <w:szCs w:val="22"/>
        </w:rPr>
        <w:t xml:space="preserve">The UI was deliberately kept to a single clear score + one confidence number after stakeholder feedback that showing a full probability distribution across all 10 grades read as “the model is unsure” and undermined clinician trust.</w:t>
      </w:r>
    </w:p>
    <w:p>
      <w:r>
        <w:br w:type="page"/>
      </w:r>
    </w:p>
    <w:p>
      <w:pPr>
        <w:pStyle w:val="Title"/>
        <w:spacing w:after="200" w:before="0"/>
      </w:pPr>
      <w:r>
        <w:t xml:space="preserve">AI/ML Solution Technical Overview</w:t>
      </w:r>
    </w:p>
    <w:p>
      <w:pPr>
        <w:pStyle w:val="Heading1"/>
        <w:spacing w:after="140" w:before="280"/>
      </w:pPr>
      <w:r>
        <w:t xml:space="preserve">Data Collection &amp; Preprocessing</w:t>
      </w:r>
    </w:p>
    <w:p>
      <w:pPr>
        <w:pStyle w:val="Heading2"/>
        <w:spacing w:after="100" w:before="200"/>
      </w:pPr>
      <w:r>
        <w:t xml:space="preserve">Primary dataset</w:t>
      </w:r>
    </w:p>
    <w:p>
      <w:pPr>
        <w:spacing w:after="140"/>
      </w:pPr>
      <w:r>
        <w:rPr>
          <w:rFonts w:ascii="Calibri" w:cs="Calibri" w:eastAsia="Calibri" w:hAnsi="Calibri"/>
          <w:sz w:val="22"/>
          <w:szCs w:val="22"/>
        </w:rPr>
        <w:t xml:space="preserve">OMNI front-teeth intraoral photo dataset. Each image was independently scored 1–10 for AC by three annotators (the project team), recorded in “Grade AC by Team.xlsx” with one row per image and one column per annotator.</w:t>
      </w:r>
    </w:p>
    <w:p>
      <w:pPr>
        <w:pStyle w:val="Heading2"/>
        <w:spacing w:after="100" w:before="200"/>
      </w:pPr>
      <w:r>
        <w:t xml:space="preserve">Consensus target</w:t>
      </w:r>
    </w:p>
    <w:p>
      <w:pPr>
        <w:spacing w:after="140"/>
      </w:pPr>
      <w:r>
        <w:rPr>
          <w:rFonts w:ascii="Calibri" w:cs="Calibri" w:eastAsia="Calibri" w:hAnsi="Calibri"/>
          <w:sz w:val="22"/>
          <w:szCs w:val="22"/>
        </w:rPr>
        <w:t xml:space="preserve">Multiple consensus strategies were tested to derive a single training label from the 3 annotator scores: mean, median, majority vote, and soft (distributional) labels. Mean-consensus produced the best downstream model performance and was adopted as the final target.</w:t>
      </w:r>
    </w:p>
    <w:p>
      <w:pPr>
        <w:pStyle w:val="Heading2"/>
        <w:spacing w:after="100" w:before="200"/>
      </w:pPr>
      <w:r>
        <w:t xml:space="preserve">Inter-annotator agreement (human ceiling)</w:t>
      </w:r>
    </w:p>
    <w:p>
      <w:pPr>
        <w:spacing w:after="140"/>
      </w:pPr>
      <w:r>
        <w:rPr>
          <w:rFonts w:ascii="Calibri" w:cs="Calibri" w:eastAsia="Calibri" w:hAnsi="Calibri"/>
          <w:sz w:val="22"/>
          <w:szCs w:val="22"/>
        </w:rPr>
        <w:t xml:space="preserve">Agreement between the 3 annotators was measured with quadratic-weighted Cohen's Kappa and Krippendorff's alpha (ordinal). The resulting QWK ceiling of 0.918 represents the practical best-case agreement level — i.e. even a perfect model cannot be expected to exceed how much the human annotators agree with each other.</w:t>
      </w:r>
    </w:p>
    <w:p>
      <w:pPr>
        <w:pStyle w:val="Heading2"/>
        <w:spacing w:after="100" w:before="200"/>
      </w:pPr>
      <w:r>
        <w:t xml:space="preserve">Domain pretraining data</w:t>
      </w:r>
    </w:p>
    <w:p>
      <w:pPr>
        <w:spacing w:after="140"/>
      </w:pPr>
      <w:r>
        <w:rPr>
          <w:rFonts w:ascii="Calibri" w:cs="Calibri" w:eastAsia="Calibri" w:hAnsi="Calibri"/>
          <w:sz w:val="22"/>
          <w:szCs w:val="22"/>
        </w:rPr>
        <w:t xml:space="preserve">A public gingivitis intraoral image dataset (Mendeley, 3253gj88rr) was explored for domain-relevant pretraining and exploratory data analysis, since it also contains front-teeth intraoral photos, ahead of building a dedicated AC classifier.</w:t>
      </w:r>
    </w:p>
    <w:p>
      <w:pPr>
        <w:pStyle w:val="Heading2"/>
        <w:spacing w:after="100" w:before="200"/>
      </w:pPr>
      <w:r>
        <w:t xml:space="preserve">Class imbalance</w:t>
      </w:r>
    </w:p>
    <w:p>
      <w:pPr>
        <w:spacing w:after="140"/>
      </w:pPr>
      <w:r>
        <w:rPr>
          <w:rFonts w:ascii="Calibri" w:cs="Calibri" w:eastAsia="Calibri" w:hAnsi="Calibri"/>
          <w:sz w:val="22"/>
          <w:szCs w:val="22"/>
        </w:rPr>
        <w:t xml:space="preserve">Grades 8–10 are rare in the dataset, mirroring their rarity in the general population (most people seeking assessment do not have the most severe malocclusions). This imbalance is the primary constraint on current model performance at the extreme ends of the scale.</w:t>
      </w:r>
    </w:p>
    <w:p>
      <w:pPr>
        <w:pStyle w:val="Heading2"/>
        <w:spacing w:after="100" w:before="200"/>
      </w:pPr>
      <w:r>
        <w:t xml:space="preserve">Region-of-interest (teeth) extraction</w:t>
      </w:r>
    </w:p>
    <w:p>
      <w:pPr>
        <w:spacing w:after="140"/>
      </w:pPr>
      <w:r>
        <w:rPr>
          <w:rFonts w:ascii="Calibri" w:cs="Calibri" w:eastAsia="Calibri" w:hAnsi="Calibri"/>
          <w:sz w:val="22"/>
          <w:szCs w:val="22"/>
        </w:rPr>
        <w:t xml:space="preserve">An initial ROI-cropping approach based on unsupervised clustering was found to poorly and inconsistently capture the tooth area. This was superseded by a supervised teeth-segmentation approach: images from the OMNI dataset were labeled with SAM (via Roboflow Smart Polygon / SAM3) across three Roboflow projects (train/val/test), exported in COCO-segmentation format, and used to train a semantic segmentation model (LR-ASPP MobileNetV3) that outputs a teeth mask. This mask is used to produce “masked_crop” images (background blacked out, teeth-only region kept in place) as an alternative model input, explored in notebooks 12–14.</w:t>
      </w:r>
    </w:p>
    <w:p>
      <w:pPr>
        <w:pStyle w:val="Heading1"/>
        <w:spacing w:after="140" w:before="280"/>
      </w:pPr>
      <w:r>
        <w:t xml:space="preserve">Exploratory Data Analysis</w:t>
      </w:r>
    </w:p>
    <w:p>
      <w:pPr>
        <w:pStyle w:val="ListParagraph"/>
        <w:numPr>
          <w:ilvl w:val="0"/>
          <w:numId w:val="2"/>
        </w:numPr>
        <w:spacing w:after="60"/>
      </w:pPr>
      <w:r>
        <w:rPr>
          <w:rFonts w:ascii="Calibri" w:cs="Calibri" w:eastAsia="Calibri" w:hAnsi="Calibri"/>
          <w:sz w:val="22"/>
          <w:szCs w:val="22"/>
        </w:rPr>
        <w:t xml:space="preserve">Per-annotator, per-grade score distributions were computed to check for systematic bias between annotators (e.g. one annotator scoring consistently higher/lower).</w:t>
      </w:r>
    </w:p>
    <w:p>
      <w:pPr>
        <w:pStyle w:val="ListParagraph"/>
        <w:numPr>
          <w:ilvl w:val="0"/>
          <w:numId w:val="2"/>
        </w:numPr>
        <w:spacing w:after="60"/>
      </w:pPr>
      <w:r>
        <w:rPr>
          <w:rFonts w:ascii="Calibri" w:cs="Calibri" w:eastAsia="Calibri" w:hAnsi="Calibri"/>
          <w:sz w:val="22"/>
          <w:szCs w:val="22"/>
        </w:rPr>
        <w:t xml:space="preserve">Unsupervised clustering (10 clusters) on the OMNI front-teeth images was used early on to explore whether simple visual clustering could substitute for a trained ROI detector — it could not reliably isolate the tooth region, which motivated the move to supervised segmentation.</w:t>
      </w:r>
    </w:p>
    <w:p>
      <w:pPr>
        <w:pStyle w:val="ListParagraph"/>
        <w:numPr>
          <w:ilvl w:val="0"/>
          <w:numId w:val="2"/>
        </w:numPr>
        <w:spacing w:after="60"/>
      </w:pPr>
      <w:r>
        <w:rPr>
          <w:rFonts w:ascii="Calibri" w:cs="Calibri" w:eastAsia="Calibri" w:hAnsi="Calibri"/>
          <w:sz w:val="22"/>
          <w:szCs w:val="22"/>
        </w:rPr>
        <w:t xml:space="preserve">Confusion matrices across all 10 grades were generated per experiment to see exactly where the model confuses adjacent vs. distant grades (confusion concentrates almost entirely in ±1-adjacent grades, consistent with the ordinal nature of AC).</w:t>
      </w:r>
    </w:p>
    <w:p>
      <w:pPr>
        <w:pStyle w:val="ListParagraph"/>
        <w:numPr>
          <w:ilvl w:val="0"/>
          <w:numId w:val="2"/>
        </w:numPr>
        <w:spacing w:after="60"/>
      </w:pPr>
      <w:r>
        <w:rPr>
          <w:rFonts w:ascii="Calibri" w:cs="Calibri" w:eastAsia="Calibri" w:hAnsi="Calibri"/>
          <w:sz w:val="22"/>
          <w:szCs w:val="22"/>
        </w:rPr>
        <w:t xml:space="preserve">Train-vs-validation MAE was tracked per experiment to separate overfitting (large train/val gap) from a data-limited ceiling (gap closes but validation performance stops improving).</w:t>
      </w:r>
    </w:p>
    <w:p>
      <w:pPr>
        <w:pStyle w:val="Heading1"/>
        <w:spacing w:after="140" w:before="280"/>
      </w:pPr>
      <w:r>
        <w:t xml:space="preserve">Model Experiment</w:t>
      </w:r>
    </w:p>
    <w:p>
      <w:pPr>
        <w:spacing w:after="140"/>
      </w:pPr>
      <w:r>
        <w:rPr>
          <w:rFonts w:ascii="Calibri" w:cs="Calibri" w:eastAsia="Calibri" w:hAnsi="Calibri"/>
          <w:sz w:val="22"/>
          <w:szCs w:val="22"/>
        </w:rPr>
        <w:t xml:space="preserve">Experiments were run as a sequence of numbered, reproducible notebooks so each architecture could be compared fairly on the same data splits.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4300"/>
        <w:gridCol w:w="3800"/>
      </w:tblGrid>
      <w:tr>
        <w:trPr>
          <w:tblHeader/>
        </w:trPr>
        <w:tc>
          <w:tcPr>
            <w:tcW w:type="dxa" w:w="1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Notebook</w:t>
            </w:r>
          </w:p>
        </w:tc>
        <w:tc>
          <w:tcPr>
            <w:tcW w:type="dxa" w:w="43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Approach</w:t>
            </w:r>
          </w:p>
        </w:tc>
        <w:tc>
          <w:tcPr>
            <w:tcW w:type="dxa" w:w="3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Why tried</w:t>
            </w:r>
          </w:p>
        </w:tc>
      </w:tr>
      <w:tr>
        <w:tc>
          <w:tcPr>
            <w:tcW w:type="dxa" w:w="1400"/>
            <w:tcMar>
              <w:top w:type="dxa" w:w="80"/>
              <w:left w:type="dxa" w:w="100"/>
              <w:bottom w:type="dxa" w:w="80"/>
              <w:right w:type="dxa" w:w="100"/>
            </w:tcMar>
          </w:tcPr>
          <w:p>
            <w:r>
              <w:rPr>
                <w:rFonts w:ascii="Calibri" w:cs="Calibri" w:eastAsia="Calibri" w:hAnsi="Calibri"/>
                <w:sz w:val="20"/>
                <w:szCs w:val="20"/>
              </w:rPr>
              <w:t xml:space="preserve">01</w:t>
            </w:r>
          </w:p>
        </w:tc>
        <w:tc>
          <w:tcPr>
            <w:tcW w:type="dxa" w:w="4300"/>
            <w:tcMar>
              <w:top w:type="dxa" w:w="80"/>
              <w:left w:type="dxa" w:w="100"/>
              <w:bottom w:type="dxa" w:w="80"/>
              <w:right w:type="dxa" w:w="100"/>
            </w:tcMar>
          </w:tcPr>
          <w:p>
            <w:r>
              <w:rPr>
                <w:rFonts w:ascii="Calibri" w:cs="Calibri" w:eastAsia="Calibri" w:hAnsi="Calibri"/>
                <w:sz w:val="20"/>
                <w:szCs w:val="20"/>
              </w:rPr>
              <w:t xml:space="preserve">ResNet18 transfer learning, plain MSE regression head</w:t>
            </w:r>
          </w:p>
        </w:tc>
        <w:tc>
          <w:tcPr>
            <w:tcW w:type="dxa" w:w="3800"/>
            <w:tcMar>
              <w:top w:type="dxa" w:w="80"/>
              <w:left w:type="dxa" w:w="100"/>
              <w:bottom w:type="dxa" w:w="80"/>
              <w:right w:type="dxa" w:w="100"/>
            </w:tcMar>
          </w:tcPr>
          <w:p>
            <w:r>
              <w:rPr>
                <w:rFonts w:ascii="Calibri" w:cs="Calibri" w:eastAsia="Calibri" w:hAnsi="Calibri"/>
                <w:sz w:val="20"/>
                <w:szCs w:val="20"/>
              </w:rPr>
              <w:t xml:space="preserve">Strong, fast baseline for image regression.</w:t>
            </w:r>
          </w:p>
        </w:tc>
      </w:tr>
      <w:tr>
        <w:tc>
          <w:tcPr>
            <w:tcW w:type="dxa" w:w="1400"/>
            <w:tcMar>
              <w:top w:type="dxa" w:w="80"/>
              <w:left w:type="dxa" w:w="100"/>
              <w:bottom w:type="dxa" w:w="80"/>
              <w:right w:type="dxa" w:w="100"/>
            </w:tcMar>
          </w:tcPr>
          <w:p>
            <w:r>
              <w:rPr>
                <w:rFonts w:ascii="Calibri" w:cs="Calibri" w:eastAsia="Calibri" w:hAnsi="Calibri"/>
                <w:sz w:val="20"/>
                <w:szCs w:val="20"/>
              </w:rPr>
              <w:t xml:space="preserve">02</w:t>
            </w:r>
          </w:p>
        </w:tc>
        <w:tc>
          <w:tcPr>
            <w:tcW w:type="dxa" w:w="4300"/>
            <w:tcMar>
              <w:top w:type="dxa" w:w="80"/>
              <w:left w:type="dxa" w:w="100"/>
              <w:bottom w:type="dxa" w:w="80"/>
              <w:right w:type="dxa" w:w="100"/>
            </w:tcMar>
          </w:tcPr>
          <w:p>
            <w:r>
              <w:rPr>
                <w:rFonts w:ascii="Calibri" w:cs="Calibri" w:eastAsia="Calibri" w:hAnsi="Calibri"/>
                <w:sz w:val="20"/>
                <w:szCs w:val="20"/>
              </w:rPr>
              <w:t xml:space="preserve">CORN ordinal regression on ResNet18 backbone</w:t>
            </w:r>
          </w:p>
        </w:tc>
        <w:tc>
          <w:tcPr>
            <w:tcW w:type="dxa" w:w="3800"/>
            <w:tcMar>
              <w:top w:type="dxa" w:w="80"/>
              <w:left w:type="dxa" w:w="100"/>
              <w:bottom w:type="dxa" w:w="80"/>
              <w:right w:type="dxa" w:w="100"/>
            </w:tcMar>
          </w:tcPr>
          <w:p>
            <w:r>
              <w:rPr>
                <w:rFonts w:ascii="Calibri" w:cs="Calibri" w:eastAsia="Calibri" w:hAnsi="Calibri"/>
                <w:sz w:val="20"/>
                <w:szCs w:val="20"/>
              </w:rPr>
              <w:t xml:space="preserve">AC is ordinal (1&lt;2&lt;…&lt;10); CORN models it as a sequence of binary “is it greater than k?” decisions instead of plain regression, which can help with rare high grades by sharing information across thresholds.</w:t>
            </w:r>
          </w:p>
        </w:tc>
      </w:tr>
      <w:tr>
        <w:tc>
          <w:tcPr>
            <w:tcW w:type="dxa" w:w="1400"/>
            <w:tcMar>
              <w:top w:type="dxa" w:w="80"/>
              <w:left w:type="dxa" w:w="100"/>
              <w:bottom w:type="dxa" w:w="80"/>
              <w:right w:type="dxa" w:w="100"/>
            </w:tcMar>
          </w:tcPr>
          <w:p>
            <w:r>
              <w:rPr>
                <w:rFonts w:ascii="Calibri" w:cs="Calibri" w:eastAsia="Calibri" w:hAnsi="Calibri"/>
                <w:sz w:val="20"/>
                <w:szCs w:val="20"/>
              </w:rPr>
              <w:t xml:space="preserve">03</w:t>
            </w:r>
          </w:p>
        </w:tc>
        <w:tc>
          <w:tcPr>
            <w:tcW w:type="dxa" w:w="4300"/>
            <w:tcMar>
              <w:top w:type="dxa" w:w="80"/>
              <w:left w:type="dxa" w:w="100"/>
              <w:bottom w:type="dxa" w:w="80"/>
              <w:right w:type="dxa" w:w="100"/>
            </w:tcMar>
          </w:tcPr>
          <w:p>
            <w:r>
              <w:rPr>
                <w:rFonts w:ascii="Calibri" w:cs="Calibri" w:eastAsia="Calibri" w:hAnsi="Calibri"/>
                <w:sz w:val="20"/>
                <w:szCs w:val="20"/>
              </w:rPr>
              <w:t xml:space="preserve">Custom lightweight CNN, trained from scratch</w:t>
            </w:r>
          </w:p>
        </w:tc>
        <w:tc>
          <w:tcPr>
            <w:tcW w:type="dxa" w:w="3800"/>
            <w:tcMar>
              <w:top w:type="dxa" w:w="80"/>
              <w:left w:type="dxa" w:w="100"/>
              <w:bottom w:type="dxa" w:w="80"/>
              <w:right w:type="dxa" w:w="100"/>
            </w:tcMar>
          </w:tcPr>
          <w:p>
            <w:r>
              <w:rPr>
                <w:rFonts w:ascii="Calibri" w:cs="Calibri" w:eastAsia="Calibri" w:hAnsi="Calibri"/>
                <w:sz w:val="20"/>
                <w:szCs w:val="20"/>
              </w:rPr>
              <w:t xml:space="preserve">Test whether a small task-specific architecture could compete with a much larger pretrained backbone on a small dataset.</w:t>
            </w:r>
          </w:p>
        </w:tc>
      </w:tr>
      <w:tr>
        <w:tc>
          <w:tcPr>
            <w:tcW w:type="dxa" w:w="1400"/>
            <w:tcMar>
              <w:top w:type="dxa" w:w="80"/>
              <w:left w:type="dxa" w:w="100"/>
              <w:bottom w:type="dxa" w:w="80"/>
              <w:right w:type="dxa" w:w="100"/>
            </w:tcMar>
          </w:tcPr>
          <w:p>
            <w:r>
              <w:rPr>
                <w:rFonts w:ascii="Calibri" w:cs="Calibri" w:eastAsia="Calibri" w:hAnsi="Calibri"/>
                <w:sz w:val="20"/>
                <w:szCs w:val="20"/>
              </w:rPr>
              <w:t xml:space="preserve">04</w:t>
            </w:r>
          </w:p>
        </w:tc>
        <w:tc>
          <w:tcPr>
            <w:tcW w:type="dxa" w:w="4300"/>
            <w:tcMar>
              <w:top w:type="dxa" w:w="80"/>
              <w:left w:type="dxa" w:w="100"/>
              <w:bottom w:type="dxa" w:w="80"/>
              <w:right w:type="dxa" w:w="100"/>
            </w:tcMar>
          </w:tcPr>
          <w:p>
            <w:r>
              <w:rPr>
                <w:rFonts w:ascii="Calibri" w:cs="Calibri" w:eastAsia="Calibri" w:hAnsi="Calibri"/>
                <w:sz w:val="20"/>
                <w:szCs w:val="20"/>
              </w:rPr>
              <w:t xml:space="preserve">Mini-ResNet, trained from scratch</w:t>
            </w:r>
          </w:p>
        </w:tc>
        <w:tc>
          <w:tcPr>
            <w:tcW w:type="dxa" w:w="3800"/>
            <w:tcMar>
              <w:top w:type="dxa" w:w="80"/>
              <w:left w:type="dxa" w:w="100"/>
              <w:bottom w:type="dxa" w:w="80"/>
              <w:right w:type="dxa" w:w="100"/>
            </w:tcMar>
          </w:tcPr>
          <w:p>
            <w:r>
              <w:rPr>
                <w:rFonts w:ascii="Calibri" w:cs="Calibri" w:eastAsia="Calibri" w:hAnsi="Calibri"/>
                <w:sz w:val="20"/>
                <w:szCs w:val="20"/>
              </w:rPr>
              <w:t xml:space="preserve">Test whether a scaled-down residual architecture without ImageNet pretraining could close the gap to transfer learning.</w:t>
            </w:r>
          </w:p>
        </w:tc>
      </w:tr>
      <w:tr>
        <w:tc>
          <w:tcPr>
            <w:tcW w:type="dxa" w:w="1400"/>
            <w:tcMar>
              <w:top w:type="dxa" w:w="80"/>
              <w:left w:type="dxa" w:w="100"/>
              <w:bottom w:type="dxa" w:w="80"/>
              <w:right w:type="dxa" w:w="100"/>
            </w:tcMar>
          </w:tcPr>
          <w:p>
            <w:r>
              <w:rPr>
                <w:rFonts w:ascii="Calibri" w:cs="Calibri" w:eastAsia="Calibri" w:hAnsi="Calibri"/>
                <w:sz w:val="20"/>
                <w:szCs w:val="20"/>
              </w:rPr>
              <w:t xml:space="preserve">05</w:t>
            </w:r>
          </w:p>
        </w:tc>
        <w:tc>
          <w:tcPr>
            <w:tcW w:type="dxa" w:w="4300"/>
            <w:tcMar>
              <w:top w:type="dxa" w:w="80"/>
              <w:left w:type="dxa" w:w="100"/>
              <w:bottom w:type="dxa" w:w="80"/>
              <w:right w:type="dxa" w:w="100"/>
            </w:tcMar>
          </w:tcPr>
          <w:p>
            <w:r>
              <w:rPr>
                <w:rFonts w:ascii="Calibri" w:cs="Calibri" w:eastAsia="Calibri" w:hAnsi="Calibri"/>
                <w:sz w:val="20"/>
                <w:szCs w:val="20"/>
              </w:rPr>
              <w:t xml:space="preserve">Transfer learning backbone (MobileNet/EfficientNet family) + custom GAP/dense/dropout head</w:t>
            </w:r>
          </w:p>
        </w:tc>
        <w:tc>
          <w:tcPr>
            <w:tcW w:type="dxa" w:w="3800"/>
            <w:tcMar>
              <w:top w:type="dxa" w:w="80"/>
              <w:left w:type="dxa" w:w="100"/>
              <w:bottom w:type="dxa" w:w="80"/>
              <w:right w:type="dxa" w:w="100"/>
            </w:tcMar>
          </w:tcPr>
          <w:p>
            <w:r>
              <w:rPr>
                <w:rFonts w:ascii="Calibri" w:cs="Calibri" w:eastAsia="Calibri" w:hAnsi="Calibri"/>
                <w:sz w:val="20"/>
                <w:szCs w:val="20"/>
              </w:rPr>
              <w:t xml:space="preserve">Explore lighter backbones more suitable for on-device deployment.</w:t>
            </w:r>
          </w:p>
        </w:tc>
      </w:tr>
      <w:tr>
        <w:tc>
          <w:tcPr>
            <w:tcW w:type="dxa" w:w="1400"/>
            <w:tcMar>
              <w:top w:type="dxa" w:w="80"/>
              <w:left w:type="dxa" w:w="100"/>
              <w:bottom w:type="dxa" w:w="80"/>
              <w:right w:type="dxa" w:w="100"/>
            </w:tcMar>
          </w:tcPr>
          <w:p>
            <w:r>
              <w:rPr>
                <w:rFonts w:ascii="Calibri" w:cs="Calibri" w:eastAsia="Calibri" w:hAnsi="Calibri"/>
                <w:sz w:val="20"/>
                <w:szCs w:val="20"/>
              </w:rPr>
              <w:t xml:space="preserve">09–10</w:t>
            </w:r>
          </w:p>
        </w:tc>
        <w:tc>
          <w:tcPr>
            <w:tcW w:type="dxa" w:w="4300"/>
            <w:tcMar>
              <w:top w:type="dxa" w:w="80"/>
              <w:left w:type="dxa" w:w="100"/>
              <w:bottom w:type="dxa" w:w="80"/>
              <w:right w:type="dxa" w:w="100"/>
            </w:tcMar>
          </w:tcPr>
          <w:p>
            <w:r>
              <w:rPr>
                <w:rFonts w:ascii="Calibri" w:cs="Calibri" w:eastAsia="Calibri" w:hAnsi="Calibri"/>
                <w:sz w:val="20"/>
                <w:szCs w:val="20"/>
              </w:rPr>
              <w:t xml:space="preserve">ResNet18 with multi-annotator consensus targets, diagnostics, ensembling, TTA, 5-fold CV</w:t>
            </w:r>
          </w:p>
        </w:tc>
        <w:tc>
          <w:tcPr>
            <w:tcW w:type="dxa" w:w="3800"/>
            <w:tcMar>
              <w:top w:type="dxa" w:w="80"/>
              <w:left w:type="dxa" w:w="100"/>
              <w:bottom w:type="dxa" w:w="80"/>
              <w:right w:type="dxa" w:w="100"/>
            </w:tcMar>
          </w:tcPr>
          <w:p>
            <w:r>
              <w:rPr>
                <w:rFonts w:ascii="Calibri" w:cs="Calibri" w:eastAsia="Calibri" w:hAnsi="Calibri"/>
                <w:sz w:val="20"/>
                <w:szCs w:val="20"/>
              </w:rPr>
              <w:t xml:space="preserve">Final production line: adds proper multi-label consensus, overfitting diagnostics, and stable OOF evaluation via cross-validation.</w:t>
            </w:r>
          </w:p>
        </w:tc>
      </w:tr>
    </w:tbl>
    <w:p>
      <w:pPr>
        <w:spacing w:after="120"/>
      </w:pPr>
    </w:p>
    <w:p>
      <w:pPr>
        <w:spacing w:after="140"/>
      </w:pPr>
      <w:r>
        <w:rPr>
          <w:rFonts w:ascii="Calibri" w:cs="Calibri" w:eastAsia="Calibri" w:hAnsi="Calibri"/>
          <w:sz w:val="22"/>
          <w:szCs w:val="22"/>
        </w:rPr>
        <w:t xml:space="preserve">Evaluation metrics used throughout: Quadratic Weighted Kappa (QWK, the standard metric for ordinal agreement), Mean Absolute Error (MAE), and ±1-grade accuracy (percentage of predictions within one grade of the target — clinically meaningful because it reflects typical inter-rater tolerance).</w:t>
      </w:r>
    </w:p>
    <w:p>
      <w:pPr>
        <w:spacing w:after="140"/>
      </w:pPr>
      <w:r>
        <w:rPr>
          <w:rFonts w:ascii="Calibri" w:cs="Calibri" w:eastAsia="Calibri" w:hAnsi="Calibri"/>
          <w:sz w:val="22"/>
          <w:szCs w:val="22"/>
        </w:rPr>
        <w:t xml:space="preserve">Regularization (dropout, weight decay, augmentation) was applied to address a diagnosed overfitting gap (train MAE 0.455 vs. val MAE 1.147 at one point). This reduced the train/val gap but did not meaningfully improve validation performance, indicating the model had entered a data-limited regime rather than an overfitting-limited one. Ensembling and test-time augmentation (TTA) were then applied for a further, smaller performance gain.</w:t>
      </w:r>
    </w:p>
    <w:p>
      <w:pPr>
        <w:pStyle w:val="Heading1"/>
        <w:spacing w:after="140" w:before="280"/>
      </w:pPr>
      <w:r>
        <w:t xml:space="preserve">Conclusion</w:t>
      </w:r>
    </w:p>
    <w:p>
      <w:pPr>
        <w:spacing w:after="140"/>
      </w:pPr>
      <w:r>
        <w:rPr>
          <w:rFonts w:ascii="Calibri" w:cs="Calibri" w:eastAsia="Calibri" w:hAnsi="Calibri"/>
          <w:sz w:val="22"/>
          <w:szCs w:val="22"/>
        </w:rPr>
        <w:t xml:space="preserve">The final production model is a ResNet18 backbone with an ordinal-aware training setup (mean-consensus target, regularization, ensembling + TTA), evaluated via 5-fold cross-validation. It achieves an out-of-fold QWK of 0.838, MAE of 0.962, and ±1-grade accuracy of 79.1%, against a human inter-annotator agreement ceiling of QWK 0.918. This means the model is operating close to the practical accuracy ceiling given the current dataset — further gains are more likely to come from more (and more diverse) labeled data, especially for the underrepresented grades 9–10, than from further architecture or hyperparameter changes. CORN ordinal regression and from-scratch architectures (custom CNN, mini-ResNet) underperformed the ResNet18 transfer-learning baseline and were not carried forward to production.</w:t>
      </w:r>
    </w:p>
    <w:p>
      <w:r>
        <w:br w:type="page"/>
      </w:r>
    </w:p>
    <w:p>
      <w:pPr>
        <w:pStyle w:val="Title"/>
        <w:spacing w:after="200" w:before="0"/>
      </w:pPr>
      <w:r>
        <w:t xml:space="preserve">AI/ML System Technical Overview</w:t>
      </w:r>
    </w:p>
    <w:p>
      <w:pPr>
        <w:pStyle w:val="Heading1"/>
        <w:spacing w:after="140" w:before="280"/>
      </w:pPr>
      <w:r>
        <w:t xml:space="preserve">System Architecture</w:t>
      </w:r>
    </w:p>
    <w:p>
      <w:pPr>
        <w:spacing w:after="140"/>
      </w:pPr>
      <w:r>
        <w:rPr>
          <w:rFonts w:ascii="Calibri" w:cs="Calibri" w:eastAsia="Calibri" w:hAnsi="Calibri"/>
          <w:sz w:val="22"/>
          <w:szCs w:val="22"/>
        </w:rPr>
        <w:t xml:space="preserve">End-to-end flow for the AC module inside the iOS app:</w:t>
      </w:r>
    </w:p>
    <w:p>
      <w:pPr>
        <w:pStyle w:val="ListParagraph"/>
        <w:numPr>
          <w:ilvl w:val="0"/>
          <w:numId w:val="3"/>
        </w:numPr>
        <w:spacing w:after="60"/>
      </w:pPr>
      <w:r>
        <w:rPr>
          <w:rFonts w:ascii="Calibri" w:cs="Calibri" w:eastAsia="Calibri" w:hAnsi="Calibri"/>
          <w:sz w:val="22"/>
          <w:szCs w:val="22"/>
        </w:rPr>
        <w:t xml:space="preserve">User selects or captures a frontal intraoral photo in the app (SwiftUI PhotosPicker).</w:t>
      </w:r>
    </w:p>
    <w:p>
      <w:pPr>
        <w:pStyle w:val="ListParagraph"/>
        <w:numPr>
          <w:ilvl w:val="0"/>
          <w:numId w:val="3"/>
        </w:numPr>
        <w:spacing w:after="60"/>
      </w:pPr>
      <w:r>
        <w:rPr>
          <w:rFonts w:ascii="Calibri" w:cs="Calibri" w:eastAsia="Calibri" w:hAnsi="Calibri"/>
          <w:sz w:val="22"/>
          <w:szCs w:val="22"/>
        </w:rPr>
        <w:t xml:space="preserve">EXIF orientation is normalized (UIImage.normalizedUp()).</w:t>
      </w:r>
    </w:p>
    <w:p>
      <w:pPr>
        <w:pStyle w:val="ListParagraph"/>
        <w:numPr>
          <w:ilvl w:val="0"/>
          <w:numId w:val="3"/>
        </w:numPr>
        <w:spacing w:after="60"/>
      </w:pPr>
      <w:r>
        <w:rPr>
          <w:rFonts w:ascii="Calibri" w:cs="Calibri" w:eastAsia="Calibri" w:hAnsi="Calibri"/>
          <w:sz w:val="22"/>
          <w:szCs w:val="22"/>
        </w:rPr>
        <w:t xml:space="preserve">The image is resized (stretch, not aspect-fit or crop) to 224×224 and converted to a 32BGRA CVPixelBuffer — matching exactly how the model was trained (Image.open(...).resize((224,224)) in the notebook).</w:t>
      </w:r>
    </w:p>
    <w:p>
      <w:pPr>
        <w:pStyle w:val="ListParagraph"/>
        <w:numPr>
          <w:ilvl w:val="0"/>
          <w:numId w:val="3"/>
        </w:numPr>
        <w:spacing w:after="60"/>
      </w:pPr>
      <w:r>
        <w:rPr>
          <w:rFonts w:ascii="Calibri" w:cs="Calibri" w:eastAsia="Calibri" w:hAnsi="Calibri"/>
          <w:sz w:val="22"/>
          <w:szCs w:val="22"/>
        </w:rPr>
        <w:t xml:space="preserve">The Core ML model (ACGrader.mlpackage) is run directly via MLModel.prediction(from:), producing two outputs: a raw AC score and a 512-dimensional feature vector. ImageNet normalization is baked into the model itself.</w:t>
      </w:r>
    </w:p>
    <w:p>
      <w:pPr>
        <w:pStyle w:val="ListParagraph"/>
        <w:numPr>
          <w:ilvl w:val="0"/>
          <w:numId w:val="3"/>
        </w:numPr>
        <w:spacing w:after="60"/>
      </w:pPr>
      <w:r>
        <w:rPr>
          <w:rFonts w:ascii="Calibri" w:cs="Calibri" w:eastAsia="Calibri" w:hAnsi="Calibri"/>
          <w:sz w:val="22"/>
          <w:szCs w:val="22"/>
        </w:rPr>
        <w:t xml:space="preserve">An out-of-distribution (OOD) check computes the cosine similarity between the feature vector and a set of reference centroids (computed from the training set); if similarity falls below a threshold stored in ACGrader_config.json, the photo is rejected with a clear message instead of returning a score.</w:t>
      </w:r>
    </w:p>
    <w:p>
      <w:pPr>
        <w:pStyle w:val="ListParagraph"/>
        <w:numPr>
          <w:ilvl w:val="0"/>
          <w:numId w:val="3"/>
        </w:numPr>
        <w:spacing w:after="60"/>
      </w:pPr>
      <w:r>
        <w:rPr>
          <w:rFonts w:ascii="Calibri" w:cs="Calibri" w:eastAsia="Calibri" w:hAnsi="Calibri"/>
          <w:sz w:val="22"/>
          <w:szCs w:val="22"/>
        </w:rPr>
        <w:t xml:space="preserve">If accepted, the raw score is calibrated (linear or isotonic calibration, parameters from ACGrader_config.json), rounded and clamped to 1–10, and a confidence percentage (probability of being within ±1 grade) is computed from the model's residual error distribution (sigma_sisa).</w:t>
      </w:r>
    </w:p>
    <w:p>
      <w:pPr>
        <w:pStyle w:val="ListParagraph"/>
        <w:numPr>
          <w:ilvl w:val="0"/>
          <w:numId w:val="3"/>
        </w:numPr>
        <w:spacing w:after="60"/>
      </w:pPr>
      <w:r>
        <w:rPr>
          <w:rFonts w:ascii="Calibri" w:cs="Calibri" w:eastAsia="Calibri" w:hAnsi="Calibri"/>
          <w:sz w:val="22"/>
          <w:szCs w:val="22"/>
        </w:rPr>
        <w:t xml:space="preserve">The ViewModel (ACViewModel, MVVM) publishes the score, confidence, and severity description to the UI (ResultView).</w:t>
      </w:r>
    </w:p>
    <w:p>
      <w:pPr>
        <w:spacing w:after="140"/>
      </w:pPr>
      <w:r>
        <w:rPr>
          <w:rFonts w:ascii="Calibri" w:cs="Calibri" w:eastAsia="Calibri" w:hAnsi="Calibri"/>
          <w:sz w:val="22"/>
          <w:szCs w:val="22"/>
        </w:rPr>
        <w:t xml:space="preserve">Design decision — “Jalur A” (full-image path): an earlier version of the pipeline additionally ran an on-device teeth-segmentation model to mask/crop the image before scoring, mirroring the masked_crop training data. This was replaced with a simpler full-image pipeline (no on-device segmentation) after (a) on-device segmentation output proved unreliable to debug reliably within the project timeline, and (b) cross-validation showed masked_crop vs. full-image input made little to no measurable difference in QWK/MAE. The current production model is therefore trained and deployed on full (unmasked) 224×224 frontal images, matching the approach of the team's earlier working prototype.</w:t>
      </w:r>
    </w:p>
    <w:p>
      <w:pPr>
        <w:pStyle w:val="Heading1"/>
        <w:spacing w:after="140" w:before="280"/>
      </w:pPr>
      <w:r>
        <w:t xml:space="preserve">Model Deployment Method</w:t>
      </w:r>
    </w:p>
    <w:p>
      <w:pPr>
        <w:spacing w:after="140"/>
      </w:pPr>
      <w:r>
        <w:rPr>
          <w:rFonts w:ascii="Calibri" w:cs="Calibri" w:eastAsia="Calibri" w:hAnsi="Calibri"/>
          <w:sz w:val="22"/>
          <w:szCs w:val="22"/>
        </w:rPr>
        <w:t xml:space="preserve">The model is deployed as a Core ML package (.mlpackage) exported from PyTorch via TorchScript trace + coremltools, run fully on-device (no server/API dependency, no user photo leaves the device).</w:t>
      </w:r>
    </w:p>
    <w:p>
      <w:pPr>
        <w:pStyle w:val="ListParagraph"/>
        <w:numPr>
          <w:ilvl w:val="0"/>
          <w:numId w:val="2"/>
        </w:numPr>
        <w:spacing w:after="60"/>
      </w:pPr>
      <w:r>
        <w:rPr>
          <w:rFonts w:ascii="Calibri" w:cs="Calibri" w:eastAsia="Calibri" w:hAnsi="Calibri"/>
          <w:sz w:val="22"/>
          <w:szCs w:val="22"/>
        </w:rPr>
        <w:t xml:space="preserve">Core ML input type: Image (not MLMultiArray) named “citra”, scale=1/255, RGB color layout — lets Core ML handle image decoding/resizing internally and avoids manual pixel normalization bugs.</w:t>
      </w:r>
    </w:p>
    <w:p>
      <w:pPr>
        <w:pStyle w:val="ListParagraph"/>
        <w:numPr>
          <w:ilvl w:val="0"/>
          <w:numId w:val="2"/>
        </w:numPr>
        <w:spacing w:after="60"/>
      </w:pPr>
      <w:r>
        <w:rPr>
          <w:rFonts w:ascii="Calibri" w:cs="Calibri" w:eastAsia="Calibri" w:hAnsi="Calibri"/>
          <w:sz w:val="22"/>
          <w:szCs w:val="22"/>
        </w:rPr>
        <w:t xml:space="preserve">Two named outputs: “grade” (raw score) and “vektor” (512-dim feature vector for OOD detection), both TensorType.</w:t>
      </w:r>
    </w:p>
    <w:p>
      <w:pPr>
        <w:pStyle w:val="ListParagraph"/>
        <w:numPr>
          <w:ilvl w:val="0"/>
          <w:numId w:val="2"/>
        </w:numPr>
        <w:spacing w:after="60"/>
      </w:pPr>
      <w:r>
        <w:rPr>
          <w:rFonts w:ascii="Calibri" w:cs="Calibri" w:eastAsia="Calibri" w:hAnsi="Calibri"/>
          <w:sz w:val="22"/>
          <w:szCs w:val="22"/>
        </w:rPr>
        <w:t xml:space="preserve">Consumption pattern: MLModel.prediction(from:) called directly with an MLDictionaryFeatureProvider wrapping a CVPixelBuffer, with output read via featureValue(for:) and linear-index MLMultiArray subscripting. This was deliberately chosen over the Vision framework (VNCoreMLRequest) after Vision-based inference was found to silently produce all-zero outputs during integration — the direct MLModel API is the pattern proven to work reliably in the team's earlier prototype and is used consistently for the AC module.</w:t>
      </w:r>
    </w:p>
    <w:p>
      <w:pPr>
        <w:pStyle w:val="ListParagraph"/>
        <w:numPr>
          <w:ilvl w:val="0"/>
          <w:numId w:val="2"/>
        </w:numPr>
        <w:spacing w:after="60"/>
      </w:pPr>
      <w:r>
        <w:rPr>
          <w:rFonts w:ascii="Calibri" w:cs="Calibri" w:eastAsia="Calibri" w:hAnsi="Calibri"/>
          <w:sz w:val="22"/>
          <w:szCs w:val="22"/>
        </w:rPr>
        <w:t xml:space="preserve">Companion config file ACGrader_config.json (bundled alongside the model, not embedded in it) stores OOD reference centroids, the OOD rejection threshold, calibration parameters, and the residual error (sigma_sisa) used for confidence estimation — kept external so it can be regenerated/tuned without re-exporting the model.</w:t>
      </w:r>
    </w:p>
    <w:p>
      <w:pPr>
        <w:pStyle w:val="Heading1"/>
        <w:spacing w:after="140" w:before="280"/>
      </w:pPr>
      <w:r>
        <w:t xml:space="preserve">Source Code Structure</w:t>
      </w:r>
    </w:p>
    <w:p>
      <w:pPr>
        <w:pStyle w:val="Heading2"/>
        <w:spacing w:after="100" w:before="200"/>
      </w:pPr>
      <w:r>
        <w:t xml:space="preserve">Model training (notebooks)</w:t>
      </w:r>
    </w:p>
    <w:p>
      <w:pPr>
        <w:spacing w:after="140"/>
      </w:pPr>
      <w:r>
        <w:rPr>
          <w:rFonts w:ascii="Calibri" w:cs="Calibri" w:eastAsia="Calibri" w:hAnsi="Calibri"/>
          <w:sz w:val="22"/>
          <w:szCs w:val="22"/>
        </w:rPr>
        <w:t xml:space="preserve">IOTN-AC/notebooks/ — numbered, reproducible Jupyter notebooks, run in order:</w:t>
      </w:r>
    </w:p>
    <w:p>
      <w:pPr>
        <w:pStyle w:val="ListParagraph"/>
        <w:numPr>
          <w:ilvl w:val="0"/>
          <w:numId w:val="2"/>
        </w:numPr>
        <w:spacing w:after="60"/>
      </w:pPr>
      <w:r>
        <w:rPr>
          <w:rFonts w:ascii="Calibri" w:cs="Calibri" w:eastAsia="Calibri" w:hAnsi="Calibri"/>
          <w:sz w:val="22"/>
          <w:szCs w:val="22"/>
        </w:rPr>
        <w:t xml:space="preserve">00 — FDI tooth-numbering detector (exploratory, for future per-tooth interpretability).</w:t>
      </w:r>
    </w:p>
    <w:p>
      <w:pPr>
        <w:pStyle w:val="ListParagraph"/>
        <w:numPr>
          <w:ilvl w:val="0"/>
          <w:numId w:val="2"/>
        </w:numPr>
        <w:spacing w:after="60"/>
      </w:pPr>
      <w:r>
        <w:rPr>
          <w:rFonts w:ascii="Calibri" w:cs="Calibri" w:eastAsia="Calibri" w:hAnsi="Calibri"/>
          <w:sz w:val="22"/>
          <w:szCs w:val="22"/>
        </w:rPr>
        <w:t xml:space="preserve">01–05 — architecture experiments (ResNet18 baseline, CORN ordinal, custom CNN, mini-ResNet, alternative transfer-learning heads).</w:t>
      </w:r>
    </w:p>
    <w:p>
      <w:pPr>
        <w:pStyle w:val="ListParagraph"/>
        <w:numPr>
          <w:ilvl w:val="0"/>
          <w:numId w:val="2"/>
        </w:numPr>
        <w:spacing w:after="60"/>
      </w:pPr>
      <w:r>
        <w:rPr>
          <w:rFonts w:ascii="Calibri" w:cs="Calibri" w:eastAsia="Calibri" w:hAnsi="Calibri"/>
          <w:sz w:val="22"/>
          <w:szCs w:val="22"/>
        </w:rPr>
        <w:t xml:space="preserve">06–07 — gingivitis dataset pretraining exploration and EDA.</w:t>
      </w:r>
    </w:p>
    <w:p>
      <w:pPr>
        <w:pStyle w:val="ListParagraph"/>
        <w:numPr>
          <w:ilvl w:val="0"/>
          <w:numId w:val="2"/>
        </w:numPr>
        <w:spacing w:after="60"/>
      </w:pPr>
      <w:r>
        <w:rPr>
          <w:rFonts w:ascii="Calibri" w:cs="Calibri" w:eastAsia="Calibri" w:hAnsi="Calibri"/>
          <w:sz w:val="22"/>
          <w:szCs w:val="22"/>
        </w:rPr>
        <w:t xml:space="preserve">08 — unsupervised ROI clustering exploration (superseded by segmentation).</w:t>
      </w:r>
    </w:p>
    <w:p>
      <w:pPr>
        <w:pStyle w:val="ListParagraph"/>
        <w:numPr>
          <w:ilvl w:val="0"/>
          <w:numId w:val="2"/>
        </w:numPr>
        <w:spacing w:after="60"/>
      </w:pPr>
      <w:r>
        <w:rPr>
          <w:rFonts w:ascii="Calibri" w:cs="Calibri" w:eastAsia="Calibri" w:hAnsi="Calibri"/>
          <w:sz w:val="22"/>
          <w:szCs w:val="22"/>
        </w:rPr>
        <w:t xml:space="preserve">09–10 — final production pipeline: multi-annotator consensus targets, diagnostics, ensembling, TTA, cross-validation, and Core ML export (including the 2-output ACGrader + config.json export used by the app).</w:t>
      </w:r>
    </w:p>
    <w:p>
      <w:pPr>
        <w:pStyle w:val="ListParagraph"/>
        <w:numPr>
          <w:ilvl w:val="0"/>
          <w:numId w:val="2"/>
        </w:numPr>
        <w:spacing w:after="60"/>
      </w:pPr>
      <w:r>
        <w:rPr>
          <w:rFonts w:ascii="Calibri" w:cs="Calibri" w:eastAsia="Calibri" w:hAnsi="Calibri"/>
          <w:sz w:val="22"/>
          <w:szCs w:val="22"/>
        </w:rPr>
        <w:t xml:space="preserve">11–14 — Roboflow mask download, teeth-masking preprocessing, and segmentation model training (kept for the masked_crop path / Jalur B, not currently used in production).</w:t>
      </w:r>
    </w:p>
    <w:p>
      <w:pPr>
        <w:pStyle w:val="ListParagraph"/>
        <w:numPr>
          <w:ilvl w:val="0"/>
          <w:numId w:val="2"/>
        </w:numPr>
        <w:spacing w:after="60"/>
      </w:pPr>
      <w:r>
        <w:rPr>
          <w:rFonts w:ascii="Calibri" w:cs="Calibri" w:eastAsia="Calibri" w:hAnsi="Calibri"/>
          <w:sz w:val="22"/>
          <w:szCs w:val="22"/>
        </w:rPr>
        <w:t xml:space="preserve">15 — captioning / retrieval exploration for future interpretability features.</w:t>
      </w:r>
    </w:p>
    <w:p>
      <w:pPr>
        <w:pStyle w:val="Heading2"/>
        <w:spacing w:after="100" w:before="200"/>
      </w:pPr>
      <w:r>
        <w:t xml:space="preserve">iOS app (“IOTN-AC App”, SwiftUI + MVVM, XcodeGen-managed)</w:t>
      </w:r>
    </w:p>
    <w:p>
      <w:pPr>
        <w:pStyle w:val="ListParagraph"/>
        <w:numPr>
          <w:ilvl w:val="0"/>
          <w:numId w:val="2"/>
        </w:numPr>
        <w:spacing w:after="60"/>
      </w:pPr>
      <w:r>
        <w:rPr>
          <w:rFonts w:ascii="Calibri" w:cs="Calibri" w:eastAsia="Calibri" w:hAnsi="Calibri"/>
          <w:sz w:val="22"/>
          <w:szCs w:val="22"/>
        </w:rPr>
        <w:t xml:space="preserve">Sources/Services/ACRegressor.swift — Core ML wrapper: preprocessing, inference, OOD rejection, calibration, confidence. The core logic of the module.</w:t>
      </w:r>
    </w:p>
    <w:p>
      <w:pPr>
        <w:pStyle w:val="ListParagraph"/>
        <w:numPr>
          <w:ilvl w:val="0"/>
          <w:numId w:val="2"/>
        </w:numPr>
        <w:spacing w:after="60"/>
      </w:pPr>
      <w:r>
        <w:rPr>
          <w:rFonts w:ascii="Calibri" w:cs="Calibri" w:eastAsia="Calibri" w:hAnsi="Calibri"/>
          <w:sz w:val="22"/>
          <w:szCs w:val="22"/>
        </w:rPr>
        <w:t xml:space="preserve">Sources/Services/UIImage+Orientation.swift — EXIF orientation normalization helper.</w:t>
      </w:r>
    </w:p>
    <w:p>
      <w:pPr>
        <w:pStyle w:val="ListParagraph"/>
        <w:numPr>
          <w:ilvl w:val="0"/>
          <w:numId w:val="2"/>
        </w:numPr>
        <w:spacing w:after="60"/>
      </w:pPr>
      <w:r>
        <w:rPr>
          <w:rFonts w:ascii="Calibri" w:cs="Calibri" w:eastAsia="Calibri" w:hAnsi="Calibri"/>
          <w:sz w:val="22"/>
          <w:szCs w:val="22"/>
        </w:rPr>
        <w:t xml:space="preserve">Sources/ViewModels/ACViewModel.swift — MVVM view model bridging the UI and ACRegressor.</w:t>
      </w:r>
    </w:p>
    <w:p>
      <w:pPr>
        <w:pStyle w:val="ListParagraph"/>
        <w:numPr>
          <w:ilvl w:val="0"/>
          <w:numId w:val="2"/>
        </w:numPr>
        <w:spacing w:after="60"/>
      </w:pPr>
      <w:r>
        <w:rPr>
          <w:rFonts w:ascii="Calibri" w:cs="Calibri" w:eastAsia="Calibri" w:hAnsi="Calibri"/>
          <w:sz w:val="22"/>
          <w:szCs w:val="22"/>
        </w:rPr>
        <w:t xml:space="preserve">Sources/Views/ResultView.swift — displays the score, confidence, and severity description.</w:t>
      </w:r>
    </w:p>
    <w:p>
      <w:pPr>
        <w:pStyle w:val="ListParagraph"/>
        <w:numPr>
          <w:ilvl w:val="0"/>
          <w:numId w:val="2"/>
        </w:numPr>
        <w:spacing w:after="60"/>
      </w:pPr>
      <w:r>
        <w:rPr>
          <w:rFonts w:ascii="Calibri" w:cs="Calibri" w:eastAsia="Calibri" w:hAnsi="Calibri"/>
          <w:sz w:val="22"/>
          <w:szCs w:val="22"/>
        </w:rPr>
        <w:t xml:space="preserve">MLModels/ACGrader.mlpackage + ACGrader_config.json — the deployed model and its companion configuration (both required in the app bundle).</w:t>
      </w:r>
    </w:p>
    <w:p>
      <w:pPr>
        <w:pStyle w:val="ListParagraph"/>
        <w:numPr>
          <w:ilvl w:val="0"/>
          <w:numId w:val="2"/>
        </w:numPr>
        <w:spacing w:after="60"/>
      </w:pPr>
      <w:r>
        <w:rPr>
          <w:rFonts w:ascii="Calibri" w:cs="Calibri" w:eastAsia="Calibri" w:hAnsi="Calibri"/>
          <w:sz w:val="22"/>
          <w:szCs w:val="22"/>
        </w:rPr>
        <w:t xml:space="preserve">project.yml — XcodeGen spec; run “xcodegen generate” after adding/removing any source file, before building in Xcode.</w:t>
      </w:r>
    </w:p>
    <w:p>
      <w:pPr>
        <w:pStyle w:val="Heading2"/>
        <w:spacing w:after="100" w:before="200"/>
      </w:pPr>
      <w:r>
        <w:t xml:space="preserve">Extending this module</w:t>
      </w:r>
    </w:p>
    <w:p>
      <w:pPr>
        <w:spacing w:after="140"/>
      </w:pPr>
      <w:r>
        <w:rPr>
          <w:rFonts w:ascii="Calibri" w:cs="Calibri" w:eastAsia="Calibri" w:hAnsi="Calibri"/>
          <w:sz w:val="22"/>
          <w:szCs w:val="22"/>
        </w:rPr>
        <w:t xml:space="preserve">To retrain: update the label spreadsheet, re-run notebooks 09–10 with the desired INPUT_MODE, and copy the newly exported ACGrader.mlpackage + ACGrader_config.json into IOTN-AC App/MLModels/. To integrate into the combined 5-view + DHC app, only the files listed above under “iOS app” need to be added to the shared project — no other module's files should be modified.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4E79"/>
      <w:sz w:val="44"/>
      <w:szCs w:val="44"/>
    </w:rPr>
  </w:style>
  <w:style w:type="paragraph" w:styleId="Heading1">
    <w:name w:val="Heading 1"/>
    <w:basedOn w:val="Normal"/>
    <w:next w:val="Normal"/>
    <w:pPr>
      <w:spacing w:after="140" w:before="320"/>
      <w:outlineLvl w:val="0"/>
    </w:pPr>
    <w:rPr>
      <w:rFonts w:ascii="Calibri" w:cs="Calibri" w:eastAsia="Calibri" w:hAnsi="Calibri"/>
      <w:b/>
      <w:bCs/>
      <w:color w:val="1F4E79"/>
      <w:sz w:val="28"/>
      <w:szCs w:val="28"/>
    </w:rPr>
  </w:style>
  <w:style w:type="paragraph" w:styleId="Heading2">
    <w:name w:val="Heading 2"/>
    <w:basedOn w:val="Normal"/>
    <w:next w:val="Normal"/>
    <w:pPr>
      <w:spacing w:after="10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2026-08-12T06:18:38.043Z</dcterms:created>
  <dcterms:modified xsi:type="dcterms:W3CDTF">2026-08-12T06:18:38.043Z</dcterms:modified>
</cp:coreProperties>
</file>

<file path=docProps/custom.xml><?xml version="1.0" encoding="utf-8"?>
<Properties xmlns="http://schemas.openxmlformats.org/officeDocument/2006/custom-properties" xmlns:vt="http://schemas.openxmlformats.org/officeDocument/2006/docPropsVTypes"/>
</file>