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Oracle HIS Loyalty Deposit Synchronization</w:t>
      </w:r>
    </w:p>
    <w:p>
      <w:pPr>
        <w:pStyle w:val="Heading2"/>
        <w:spacing w:after="40"/>
      </w:pPr>
      <w:r>
        <w:t xml:space="preserve">Pre-Implementation Architecture Analysis &amp; Design Report</w:t>
      </w:r>
    </w:p>
    <w:p>
      <w:pPr>
        <w:spacing w:after="160"/>
      </w:pPr>
      <w:r>
        <w:rPr>
          <w:rFonts w:ascii="Calibri" w:cs="Calibri" w:eastAsia="Calibri" w:hAnsi="Calibri"/>
          <w:b w:val="false"/>
          <w:bCs w:val="false"/>
          <w:i/>
          <w:iCs/>
          <w:sz w:val="22"/>
          <w:szCs w:val="22"/>
        </w:rPr>
        <w:t xml:space="preserve">Project: HDSP_HYBRID   |   Module: Loyalty (backend/src/modules/loyalty, backend/src/modules/his)   |   Date: 28 Jul 2026</w:t>
      </w:r>
    </w:p>
    <w:p>
      <w:pPr>
        <w:spacing w:after="160"/>
      </w:pPr>
      <w:r>
        <w:rPr>
          <w:rFonts w:ascii="Calibri" w:cs="Calibri" w:eastAsia="Calibri" w:hAnsi="Calibri"/>
          <w:b w:val="false"/>
          <w:bCs w:val="false"/>
          <w:i/>
          <w:iCs/>
          <w:sz w:val="22"/>
          <w:szCs w:val="22"/>
        </w:rPr>
        <w:t xml:space="preserve">Status: Analysis complete. No code has been modified. This document is the required deliverable before implementation begins, per the task brief.</w:t>
      </w:r>
    </w:p>
    <w:p>
      <w:pPr>
        <w:pStyle w:val="Heading1"/>
        <w:spacing w:after="160" w:before="320"/>
      </w:pPr>
      <w:r>
        <w:t xml:space="preserve">1. Existing Loyalty Architecture</w:t>
      </w:r>
    </w:p>
    <w:p>
      <w:pPr>
        <w:spacing w:after="160"/>
      </w:pPr>
      <w:r>
        <w:rPr>
          <w:rFonts w:ascii="Calibri" w:cs="Calibri" w:eastAsia="Calibri" w:hAnsi="Calibri"/>
          <w:b w:val="false"/>
          <w:bCs w:val="false"/>
          <w:i w:val="false"/>
          <w:iCs w:val="false"/>
          <w:sz w:val="22"/>
          <w:szCs w:val="22"/>
        </w:rPr>
        <w:t xml:space="preserve">The Loyalty module is a self-contained NestJS module at backend/src/modules/loyalty/, paired with an HIS/Oracle bridge module at backend/src/modules/his/. Postgres is the system of record for all loyalty state; Oracle only ever receives a best-effort, denormalized mirror of that state. No loyalty logic exists in connector/ or connector-manager/ — those packages carry only generic Oracle transport plumbing.</w:t>
      </w:r>
    </w:p>
    <w:p>
      <w:pPr>
        <w:pStyle w:val="Heading2"/>
        <w:spacing w:after="120" w:before="240"/>
      </w:pPr>
      <w:r>
        <w:t xml:space="preserve">1.1 Module layout</w:t>
      </w:r>
    </w:p>
    <w:p>
      <w:pPr>
        <w:spacing w:after="80"/>
      </w:pPr>
      <w:r>
        <w:rPr>
          <w:rFonts w:ascii="Consolas" w:cs="Consolas" w:eastAsia="Consolas" w:hAnsi="Consolas"/>
          <w:color w:val="1155CC"/>
          <w:sz w:val="20"/>
          <w:szCs w:val="20"/>
        </w:rPr>
        <w:t xml:space="preserve">backend/src/modules/loyalty/</w:t>
      </w:r>
    </w:p>
    <w:p>
      <w:pPr>
        <w:pStyle w:val="ListParagraph"/>
        <w:numPr>
          <w:ilvl w:val="0"/>
          <w:numId w:val="2"/>
        </w:numPr>
        <w:spacing w:after="80"/>
      </w:pPr>
      <w:r>
        <w:rPr>
          <w:rFonts w:ascii="Calibri" w:cs="Calibri" w:eastAsia="Calibri" w:hAnsi="Calibri"/>
          <w:sz w:val="22"/>
          <w:szCs w:val="22"/>
        </w:rPr>
        <w:t xml:space="preserve">loyalty.module.ts — NestJS wiring</w:t>
      </w:r>
    </w:p>
    <w:p>
      <w:pPr>
        <w:pStyle w:val="ListParagraph"/>
        <w:numPr>
          <w:ilvl w:val="0"/>
          <w:numId w:val="2"/>
        </w:numPr>
        <w:spacing w:after="80"/>
      </w:pPr>
      <w:r>
        <w:rPr>
          <w:rFonts w:ascii="Calibri" w:cs="Calibri" w:eastAsia="Calibri" w:hAnsi="Calibri"/>
          <w:sz w:val="22"/>
          <w:szCs w:val="22"/>
        </w:rPr>
        <w:t xml:space="preserve">loyalty.controller.ts — REST API (enroll, earn, redeem, card-config)</w:t>
      </w:r>
    </w:p>
    <w:p>
      <w:pPr>
        <w:pStyle w:val="ListParagraph"/>
        <w:numPr>
          <w:ilvl w:val="0"/>
          <w:numId w:val="2"/>
        </w:numPr>
        <w:spacing w:after="80"/>
      </w:pPr>
      <w:r>
        <w:rPr>
          <w:rFonts w:ascii="Calibri" w:cs="Calibri" w:eastAsia="Calibri" w:hAnsi="Calibri"/>
          <w:sz w:val="22"/>
          <w:szCs w:val="22"/>
        </w:rPr>
        <w:t xml:space="preserve">loyalty.processor.ts — BullMQ consumer for async earn-from-bill jobs</w:t>
      </w:r>
    </w:p>
    <w:p>
      <w:pPr>
        <w:pStyle w:val="ListParagraph"/>
        <w:numPr>
          <w:ilvl w:val="0"/>
          <w:numId w:val="2"/>
        </w:numPr>
        <w:spacing w:after="80"/>
      </w:pPr>
      <w:r>
        <w:rPr>
          <w:rFonts w:ascii="Calibri" w:cs="Calibri" w:eastAsia="Calibri" w:hAnsi="Calibri"/>
          <w:sz w:val="22"/>
          <w:szCs w:val="22"/>
        </w:rPr>
        <w:t xml:space="preserve">entities/ — loyalty-account, loyalty-transaction, card-category, campaign, reward-catalog, reward-redemption</w:t>
      </w:r>
    </w:p>
    <w:p>
      <w:pPr>
        <w:pStyle w:val="ListParagraph"/>
        <w:numPr>
          <w:ilvl w:val="0"/>
          <w:numId w:val="2"/>
        </w:numPr>
        <w:spacing w:after="80"/>
      </w:pPr>
      <w:r>
        <w:rPr>
          <w:rFonts w:ascii="Calibri" w:cs="Calibri" w:eastAsia="Calibri" w:hAnsi="Calibri"/>
          <w:sz w:val="22"/>
          <w:szCs w:val="22"/>
        </w:rPr>
        <w:t xml:space="preserve">services/enrollment.service.ts — enroll / auto-enroll / account lookup</w:t>
      </w:r>
    </w:p>
    <w:p>
      <w:pPr>
        <w:pStyle w:val="ListParagraph"/>
        <w:numPr>
          <w:ilvl w:val="0"/>
          <w:numId w:val="2"/>
        </w:numPr>
        <w:spacing w:after="80"/>
      </w:pPr>
      <w:r>
        <w:rPr>
          <w:rFonts w:ascii="Calibri" w:cs="Calibri" w:eastAsia="Calibri" w:hAnsi="Calibri"/>
          <w:sz w:val="22"/>
          <w:szCs w:val="22"/>
        </w:rPr>
        <w:t xml:space="preserve">services/transaction.service.ts — earn / adjust / reverse / manual-adjust (the ledger writer)</w:t>
      </w:r>
    </w:p>
    <w:p>
      <w:pPr>
        <w:pStyle w:val="ListParagraph"/>
        <w:numPr>
          <w:ilvl w:val="0"/>
          <w:numId w:val="2"/>
        </w:numPr>
        <w:spacing w:after="80"/>
      </w:pPr>
      <w:r>
        <w:rPr>
          <w:rFonts w:ascii="Calibri" w:cs="Calibri" w:eastAsia="Calibri" w:hAnsi="Calibri"/>
          <w:sz w:val="22"/>
          <w:szCs w:val="22"/>
        </w:rPr>
        <w:t xml:space="preserve">services/redemption.service.ts — reward redemption</w:t>
      </w:r>
    </w:p>
    <w:p>
      <w:pPr>
        <w:pStyle w:val="ListParagraph"/>
        <w:numPr>
          <w:ilvl w:val="0"/>
          <w:numId w:val="2"/>
        </w:numPr>
        <w:spacing w:after="80"/>
      </w:pPr>
      <w:r>
        <w:rPr>
          <w:rFonts w:ascii="Calibri" w:cs="Calibri" w:eastAsia="Calibri" w:hAnsi="Calibri"/>
          <w:sz w:val="22"/>
          <w:szCs w:val="22"/>
        </w:rPr>
        <w:t xml:space="preserve">services/point-engine.service.ts — pure calculation: points, discount %, redeemable amount, tier</w:t>
      </w:r>
    </w:p>
    <w:p>
      <w:pPr>
        <w:pStyle w:val="ListParagraph"/>
        <w:numPr>
          <w:ilvl w:val="0"/>
          <w:numId w:val="2"/>
        </w:numPr>
        <w:spacing w:after="80"/>
      </w:pPr>
      <w:r>
        <w:rPr>
          <w:rFonts w:ascii="Calibri" w:cs="Calibri" w:eastAsia="Calibri" w:hAnsi="Calibri"/>
          <w:sz w:val="22"/>
          <w:szCs w:val="22"/>
        </w:rPr>
        <w:t xml:space="preserve">services/card-config.service.ts — tier configuration CRUD</w:t>
      </w:r>
    </w:p>
    <w:p>
      <w:pPr>
        <w:pStyle w:val="ListParagraph"/>
        <w:numPr>
          <w:ilvl w:val="0"/>
          <w:numId w:val="2"/>
        </w:numPr>
        <w:spacing w:after="80"/>
      </w:pPr>
      <w:r>
        <w:rPr>
          <w:rFonts w:ascii="Calibri" w:cs="Calibri" w:eastAsia="Calibri" w:hAnsi="Calibri"/>
          <w:sz w:val="22"/>
          <w:szCs w:val="22"/>
        </w:rPr>
        <w:t xml:space="preserve">campaign/ — campaign.controller/service/scheduler (birthday &amp; flat-bonus campaigns)</w:t>
      </w:r>
    </w:p>
    <w:p>
      <w:pPr>
        <w:spacing w:after="80"/>
      </w:pPr>
      <w:r>
        <w:rPr>
          <w:rFonts w:ascii="Consolas" w:cs="Consolas" w:eastAsia="Consolas" w:hAnsi="Consolas"/>
          <w:color w:val="1155CC"/>
          <w:sz w:val="20"/>
          <w:szCs w:val="20"/>
        </w:rPr>
        <w:t xml:space="preserve">backend/src/modules/his/</w:t>
      </w:r>
    </w:p>
    <w:p>
      <w:pPr>
        <w:pStyle w:val="ListParagraph"/>
        <w:numPr>
          <w:ilvl w:val="0"/>
          <w:numId w:val="2"/>
        </w:numPr>
        <w:spacing w:after="80"/>
      </w:pPr>
      <w:r>
        <w:rPr>
          <w:rFonts w:ascii="Calibri" w:cs="Calibri" w:eastAsia="Calibri" w:hAnsi="Calibri"/>
          <w:sz w:val="22"/>
          <w:szCs w:val="22"/>
        </w:rPr>
        <w:t xml:space="preserve">billing/billing.service.ts — reads Oracle bill data (BILL_MASTER / INS_MASTER_INVOICE)</w:t>
      </w:r>
    </w:p>
    <w:p>
      <w:pPr>
        <w:pStyle w:val="ListParagraph"/>
        <w:numPr>
          <w:ilvl w:val="0"/>
          <w:numId w:val="2"/>
        </w:numPr>
        <w:spacing w:after="80"/>
      </w:pPr>
      <w:r>
        <w:rPr>
          <w:rFonts w:ascii="Calibri" w:cs="Calibri" w:eastAsia="Calibri" w:hAnsi="Calibri"/>
          <w:sz w:val="22"/>
          <w:szCs w:val="22"/>
        </w:rPr>
        <w:t xml:space="preserve">billing/his-loyalty-bridge.service.ts — writes the Oracle table LOYALTY_PATIENT_SUMMARY</w:t>
      </w:r>
    </w:p>
    <w:p>
      <w:pPr>
        <w:pStyle w:val="ListParagraph"/>
        <w:numPr>
          <w:ilvl w:val="0"/>
          <w:numId w:val="2"/>
        </w:numPr>
        <w:spacing w:after="80"/>
      </w:pPr>
      <w:r>
        <w:rPr>
          <w:rFonts w:ascii="Calibri" w:cs="Calibri" w:eastAsia="Calibri" w:hAnsi="Calibri"/>
          <w:sz w:val="22"/>
          <w:szCs w:val="22"/>
        </w:rPr>
        <w:t xml:space="preserve">sync/his-sync.service.ts — core polling sync: Oracle bills → Postgres loyalty ledger</w:t>
      </w:r>
    </w:p>
    <w:p>
      <w:pPr>
        <w:pStyle w:val="ListParagraph"/>
        <w:numPr>
          <w:ilvl w:val="0"/>
          <w:numId w:val="2"/>
        </w:numPr>
        <w:spacing w:after="80"/>
      </w:pPr>
      <w:r>
        <w:rPr>
          <w:rFonts w:ascii="Calibri" w:cs="Calibri" w:eastAsia="Calibri" w:hAnsi="Calibri"/>
          <w:sz w:val="22"/>
          <w:szCs w:val="22"/>
        </w:rPr>
        <w:t xml:space="preserve">sync/his-sync.scheduler.ts — self-throttling setInterval poller, license-gated</w:t>
      </w:r>
    </w:p>
    <w:p>
      <w:pPr>
        <w:pStyle w:val="ListParagraph"/>
        <w:numPr>
          <w:ilvl w:val="0"/>
          <w:numId w:val="2"/>
        </w:numPr>
        <w:spacing w:after="80"/>
      </w:pPr>
      <w:r>
        <w:rPr>
          <w:rFonts w:ascii="Calibri" w:cs="Calibri" w:eastAsia="Calibri" w:hAnsi="Calibri"/>
          <w:sz w:val="22"/>
          <w:szCs w:val="22"/>
        </w:rPr>
        <w:t xml:space="preserve">sync/his-sync.controller.ts — admin endpoints: cursor reset, backfill, diagnostics</w:t>
      </w:r>
    </w:p>
    <w:p>
      <w:pPr>
        <w:pStyle w:val="ListParagraph"/>
        <w:numPr>
          <w:ilvl w:val="0"/>
          <w:numId w:val="2"/>
        </w:numPr>
        <w:spacing w:after="80"/>
      </w:pPr>
      <w:r>
        <w:rPr>
          <w:rFonts w:ascii="Calibri" w:cs="Calibri" w:eastAsia="Calibri" w:hAnsi="Calibri"/>
          <w:sz w:val="22"/>
          <w:szCs w:val="22"/>
        </w:rPr>
        <w:t xml:space="preserve">oracle-pool.service.ts — OraclePoolManager, one Oracle pool per tenant</w:t>
      </w:r>
    </w:p>
    <w:p>
      <w:pPr>
        <w:pStyle w:val="ListParagraph"/>
        <w:numPr>
          <w:ilvl w:val="0"/>
          <w:numId w:val="2"/>
        </w:numPr>
        <w:spacing w:after="80"/>
      </w:pPr>
      <w:r>
        <w:rPr>
          <w:rFonts w:ascii="Calibri" w:cs="Calibri" w:eastAsia="Calibri" w:hAnsi="Calibri"/>
          <w:sz w:val="22"/>
          <w:szCs w:val="22"/>
        </w:rPr>
        <w:t xml:space="preserve">direct-oracle.transport.ts / cloud-oracle.transport.ts — IOracleTransport implementations</w:t>
      </w:r>
    </w:p>
    <w:p>
      <w:pPr>
        <w:pStyle w:val="ListParagraph"/>
        <w:numPr>
          <w:ilvl w:val="0"/>
          <w:numId w:val="2"/>
        </w:numPr>
        <w:spacing w:after="80"/>
      </w:pPr>
      <w:r>
        <w:rPr>
          <w:rFonts w:ascii="Calibri" w:cs="Calibri" w:eastAsia="Calibri" w:hAnsi="Calibri"/>
          <w:sz w:val="22"/>
          <w:szCs w:val="22"/>
        </w:rPr>
        <w:t xml:space="preserve">config/his-config.service.ts — per-tenant dynamic column/table mapping</w:t>
      </w:r>
    </w:p>
    <w:p>
      <w:pPr>
        <w:pStyle w:val="ListParagraph"/>
        <w:numPr>
          <w:ilvl w:val="0"/>
          <w:numId w:val="2"/>
        </w:numPr>
        <w:spacing w:after="80"/>
      </w:pPr>
      <w:r>
        <w:rPr>
          <w:rFonts w:ascii="Calibri" w:cs="Calibri" w:eastAsia="Calibri" w:hAnsi="Calibri"/>
          <w:sz w:val="22"/>
          <w:szCs w:val="22"/>
        </w:rPr>
        <w:t xml:space="preserve">patient/patient.service.ts, visit/visit.service.ts — Oracle PAT_MASTER / visit reads</w:t>
      </w:r>
    </w:p>
    <w:p>
      <w:pPr>
        <w:pStyle w:val="Heading2"/>
        <w:spacing w:after="120" w:before="240"/>
      </w:pPr>
      <w:r>
        <w:t xml:space="preserve">1.2 Calculation logic</w:t>
      </w:r>
    </w:p>
    <w:p>
      <w:pPr>
        <w:spacing w:after="160"/>
      </w:pPr>
      <w:r>
        <w:rPr>
          <w:rFonts w:ascii="Calibri" w:cs="Calibri" w:eastAsia="Calibri" w:hAnsi="Calibri"/>
          <w:b w:val="false"/>
          <w:bCs w:val="false"/>
          <w:i w:val="false"/>
          <w:iCs w:val="false"/>
          <w:sz w:val="22"/>
          <w:szCs w:val="22"/>
        </w:rPr>
        <w:t xml:space="preserve">All calculation is centralized in PointEngineService (backend/src/modules/loyalty/services/point-engine.service.ts):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calculateEarnPoints(billAmount, category, dobMonth?)</w:t>
      </w:r>
      <w:r>
        <w:br/>
        <w:t xml:space="preserve"/>
      </w:r>
      <w:r>
        <w:rPr>
          <w:rFonts w:ascii="Consolas" w:cs="Consolas" w:eastAsia="Consolas" w:hAnsi="Consolas"/>
          <w:sz w:val="18"/>
          <w:szCs w:val="18"/>
        </w:rPr>
        <w:t xml:space="preserve">  basePoints = floor(billAmount / 100) * category.earnRatePer100</w:t>
      </w:r>
      <w:r>
        <w:br/>
        <w:t xml:space="preserve"/>
      </w:r>
      <w:r>
        <w:rPr>
          <w:rFonts w:ascii="Consolas" w:cs="Consolas" w:eastAsia="Consolas" w:hAnsi="Consolas"/>
          <w:sz w:val="18"/>
          <w:szCs w:val="18"/>
        </w:rPr>
        <w:t xml:space="preserve">  campaign lookup: active, date-in-range, tier-eligible, birthday-month match</w:t>
      </w:r>
      <w:r>
        <w:br/>
        <w:t xml:space="preserve"/>
      </w:r>
      <w:r>
        <w:rPr>
          <w:rFonts w:ascii="Consolas" w:cs="Consolas" w:eastAsia="Consolas" w:hAnsi="Consolas"/>
          <w:sz w:val="18"/>
          <w:szCs w:val="18"/>
        </w:rPr>
        <w:t xml:space="preserve">  totalPoints = floor(basePoints * bestCampaignMultiplier) + sum(campaignBonusFlat)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computeDiscount(availablePoints, category)   ← THE REDEEMABLE-AMOUNT CALCULATION</w:t>
      </w:r>
      <w:r>
        <w:br/>
        <w:t xml:space="preserve"/>
      </w:r>
      <w:r>
        <w:rPr>
          <w:rFonts w:ascii="Consolas" w:cs="Consolas" w:eastAsia="Consolas" w:hAnsi="Consolas"/>
          <w:sz w:val="18"/>
          <w:szCs w:val="18"/>
        </w:rPr>
        <w:t xml:space="preserve">  cardValue (Rs.) = (availablePoints / 100) * category.pointValuePer100</w:t>
      </w:r>
      <w:r>
        <w:br/>
        <w:t xml:space="preserve"/>
      </w:r>
      <w:r>
        <w:rPr>
          <w:rFonts w:ascii="Consolas" w:cs="Consolas" w:eastAsia="Consolas" w:hAnsi="Consolas"/>
          <w:sz w:val="18"/>
          <w:szCs w:val="18"/>
        </w:rPr>
        <w:t xml:space="preserve">  discountPct = first matching bracket in category.discountThresholds (desc. sorted)</w:t>
      </w:r>
      <w:r>
        <w:br/>
        <w:t xml:space="preserve"/>
      </w:r>
      <w:r>
        <w:rPr>
          <w:rFonts w:ascii="Consolas" w:cs="Consolas" w:eastAsia="Consolas" w:hAnsi="Consolas"/>
          <w:sz w:val="18"/>
          <w:szCs w:val="18"/>
        </w:rPr>
        <w:t xml:space="preserve">  returns { discountPct, cardValue, thresholdLabel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determineTier(totalSpend, categories)</w:t>
      </w:r>
      <w:r>
        <w:br/>
        <w:t xml:space="preserve"/>
      </w:r>
      <w:r>
        <w:rPr>
          <w:rFonts w:ascii="Consolas" w:cs="Consolas" w:eastAsia="Consolas" w:hAnsi="Consolas"/>
          <w:sz w:val="18"/>
          <w:szCs w:val="18"/>
        </w:rPr>
        <w:t xml:space="preserve">  first category (sorted by minSpend desc) whose minSpend &lt;= totalSpend</w:t>
      </w:r>
    </w:p>
    <w:p>
      <w:pPr>
        <w:spacing w:after="160"/>
      </w:pPr>
      <w:r>
        <w:rPr>
          <w:rFonts w:ascii="Calibri" w:cs="Calibri" w:eastAsia="Calibri" w:hAnsi="Calibri"/>
          <w:b w:val="false"/>
          <w:bCs w:val="false"/>
          <w:i w:val="false"/>
          <w:iCs w:val="false"/>
          <w:sz w:val="22"/>
          <w:szCs w:val="22"/>
        </w:rPr>
        <w:t xml:space="preserve">The value the task calls the “Redeemable Amount” is PointEngineService.computeDiscount().cardValue. It is derived on demand from availablePoints — it is not persisted as an independent column, so every call site that needs to push it to Oracle recomputes it fresh from the current loyalty_accounts.available_points value (transaction.service.ts, redemption.service.ts, enrollment.service.ts, his-sync.service.ts).</w:t>
      </w:r>
    </w:p>
    <w:p>
      <w:pPr>
        <w:pStyle w:val="Heading2"/>
        <w:spacing w:after="120" w:before="240"/>
      </w:pPr>
      <w:r>
        <w:t xml:space="preserve">1.3 Storage (Postgres, source of truth)</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Entity 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entities/loyalty-account.entity.ts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row/patient. available_points, total_lifetime_spend, total_points_earned/redeemed/expired, card_number, card_category_id, status, branch_id, tenant_id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loyalty_transactions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Append-only ledger. transaction_type (EARN/REDEEM/REVERSE/EXPIRE/ADJUST), reference_type/reference_id, points_delta, balance_before/after. Partial unique index uq_earn_per_bill enforces one EARN per bill.</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card_categories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entities/card-category.entity.ts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Tier config: earn_rate_per_100, point_value_per_100, discount_thresholds (JSONB)</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campaigns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entities/campaign.entity.ts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Bonus campaigns: earn_multiplier, bonus_points_flat, eligible_card_codes[]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reward_catalog / reward_redemptions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reward-catalog.entity.ts / reward-redemption.entity.ts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Catalog redemption workflow (separate from the Oracle bill-discount redemption path)</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Migrations: 1700000005000-CreateLoyaltySchema.ts (base schema — note the non-“000” sibling files are superseded stubs), 1700000007000-AddPhoneToLoyaltyAccounts.ts, 1783760000000-AddTenantIdToLoyaltyTables.ts.</w:t>
      </w:r>
    </w:p>
    <w:p>
      <w:pPr>
        <w:pStyle w:val="Heading2"/>
        <w:spacing w:after="120" w:before="240"/>
      </w:pPr>
      <w:r>
        <w:t xml:space="preserve">1.4 Oracle transport layer</w:t>
      </w:r>
    </w:p>
    <w:p>
      <w:pPr>
        <w:spacing w:after="160"/>
      </w:pPr>
      <w:r>
        <w:rPr>
          <w:rFonts w:ascii="Calibri" w:cs="Calibri" w:eastAsia="Calibri" w:hAnsi="Calibri"/>
          <w:b w:val="false"/>
          <w:bCs w:val="false"/>
          <w:i w:val="false"/>
          <w:iCs w:val="false"/>
          <w:sz w:val="22"/>
          <w:szCs w:val="22"/>
        </w:rPr>
        <w:t xml:space="preserve">Every Oracle-touching service depends only on the IOracleTransport interface (DI token ORACLE_TRANSPORT), never on a raw pool: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interface IOracleTransport {</w:t>
      </w:r>
      <w:r>
        <w:br/>
        <w:t xml:space="preserve"/>
      </w:r>
      <w:r>
        <w:rPr>
          <w:rFonts w:ascii="Consolas" w:cs="Consolas" w:eastAsia="Consolas" w:hAnsi="Consolas"/>
          <w:sz w:val="18"/>
          <w:szCs w:val="18"/>
        </w:rPr>
        <w:t xml:space="preserve">  readonly isAvailable: boolean;</w:t>
      </w:r>
      <w:r>
        <w:br/>
        <w:t xml:space="preserve"/>
      </w:r>
      <w:r>
        <w:rPr>
          <w:rFonts w:ascii="Consolas" w:cs="Consolas" w:eastAsia="Consolas" w:hAnsi="Consolas"/>
          <w:sz w:val="18"/>
          <w:szCs w:val="18"/>
        </w:rPr>
        <w:t xml:space="preserve">  query&lt;T&gt;(sql, binds?, opts?): Promise&lt;T[]&gt;;</w:t>
      </w:r>
      <w:r>
        <w:br/>
        <w:t xml:space="preserve"/>
      </w:r>
      <w:r>
        <w:rPr>
          <w:rFonts w:ascii="Consolas" w:cs="Consolas" w:eastAsia="Consolas" w:hAnsi="Consolas"/>
          <w:sz w:val="18"/>
          <w:szCs w:val="18"/>
        </w:rPr>
        <w:t xml:space="preserve">  queryOne&lt;T&gt;(sql, binds?, opts?): Promise&lt;T | null&gt;;</w:t>
      </w:r>
      <w:r>
        <w:br/>
        <w:t xml:space="preserve"/>
      </w:r>
      <w:r>
        <w:rPr>
          <w:rFonts w:ascii="Consolas" w:cs="Consolas" w:eastAsia="Consolas" w:hAnsi="Consolas"/>
          <w:sz w:val="18"/>
          <w:szCs w:val="18"/>
        </w:rPr>
        <w:t xml:space="preserve">  execute(sql, binds?, opts?): Promise&lt;number&gt;;</w:t>
      </w:r>
      <w:r>
        <w:br/>
        <w:t xml:space="preserve"/>
      </w:r>
      <w:r>
        <w:rPr>
          <w:rFonts w:ascii="Consolas" w:cs="Consolas" w:eastAsia="Consolas" w:hAnsi="Consolas"/>
          <w:sz w:val="18"/>
          <w:szCs w:val="18"/>
        </w:rPr>
        <w:t xml:space="preserve">  reconfigure(creds, testOnly?): Promise&lt;{ ok, message }&gt;;</w:t>
      </w:r>
      <w:r>
        <w:br/>
        <w:t xml:space="preserve"/>
      </w:r>
      <w:r>
        <w:rPr>
          <w:rFonts w:ascii="Consolas" w:cs="Consolas" w:eastAsia="Consolas" w:hAnsi="Consolas"/>
          <w:sz w:val="18"/>
          <w:szCs w:val="18"/>
        </w:rPr>
        <w:t xml:space="preserve">}</w:t>
      </w:r>
    </w:p>
    <w:p>
      <w:pPr>
        <w:pStyle w:val="ListParagraph"/>
        <w:numPr>
          <w:ilvl w:val="0"/>
          <w:numId w:val="2"/>
        </w:numPr>
        <w:spacing w:after="80"/>
      </w:pPr>
      <w:r>
        <w:rPr>
          <w:rFonts w:ascii="Calibri" w:cs="Calibri" w:eastAsia="Calibri" w:hAnsi="Calibri"/>
          <w:sz w:val="22"/>
          <w:szCs w:val="22"/>
        </w:rPr>
        <w:t xml:space="preserve">DirectOracleTransport — self-hosted default; delegates to OraclePoolManager → OracleClient (packages/oracle-client).</w:t>
      </w:r>
    </w:p>
    <w:p>
      <w:pPr>
        <w:pStyle w:val="ListParagraph"/>
        <w:numPr>
          <w:ilvl w:val="0"/>
          <w:numId w:val="2"/>
        </w:numPr>
        <w:spacing w:after="80"/>
      </w:pPr>
      <w:r>
        <w:rPr>
          <w:rFonts w:ascii="Calibri" w:cs="Calibri" w:eastAsia="Calibri" w:hAnsi="Calibri"/>
          <w:sz w:val="22"/>
          <w:szCs w:val="22"/>
        </w:rPr>
        <w:t xml:space="preserve">CloudOracleTransport — cloud mode; routes SQL through the Connector via Redis pub/sub, allow-listed sqlTemplateId registry, own 15s circuit breaker.</w:t>
      </w:r>
    </w:p>
    <w:p>
      <w:pPr>
        <w:pStyle w:val="ListParagraph"/>
        <w:numPr>
          <w:ilvl w:val="0"/>
          <w:numId w:val="2"/>
        </w:numPr>
        <w:spacing w:after="80"/>
      </w:pPr>
      <w:r>
        <w:rPr>
          <w:rFonts w:ascii="Calibri" w:cs="Calibri" w:eastAsia="Calibri" w:hAnsi="Calibri"/>
          <w:sz w:val="22"/>
          <w:szCs w:val="22"/>
        </w:rPr>
        <w:t xml:space="preserve">OracleClient (packages/oracle-client/src/oracle-client.ts) — pool wrapper; connection-per-call; execute() uses autoCommit:true; 15s circuit-breaker cooldown on connect failure (throws HisUnavailableError).</w:t>
      </w:r>
    </w:p>
    <w:p>
      <w:pPr>
        <w:pStyle w:val="Heading1"/>
        <w:spacing w:after="160" w:before="320"/>
      </w:pPr>
      <w:r>
        <w:t xml:space="preserve">2. Oracle Billing Flow — How Deposit “Block” Currently Behaves</w:t>
      </w:r>
    </w:p>
    <w:p>
      <w:pPr>
        <w:spacing w:after="160"/>
      </w:pPr>
      <w:r>
        <w:rPr>
          <w:rFonts w:ascii="Calibri" w:cs="Calibri" w:eastAsia="Calibri" w:hAnsi="Calibri"/>
          <w:b w:val="false"/>
          <w:bCs w:val="false"/>
          <w:i w:val="false"/>
          <w:iCs w:val="false"/>
          <w:sz w:val="22"/>
          <w:szCs w:val="22"/>
        </w:rPr>
        <w:t xml:space="preserve">This behavior lives entirely in Oracle HIS, not in HDSP — the codebase search confirmed zero references to DEPOSIT_LOG, DEPOSIT_TYPE, or DEPOSIT_STATUS anywhere in backend/, connector/, connector-manager/, or packages/. The description below is reconstructed from the two supplied screenshots and the DEPOSIT_LOG table contents, since there is no HDSP code to read.</w:t>
      </w:r>
    </w:p>
    <w:p>
      <w:pPr>
        <w:pStyle w:val="Heading2"/>
        <w:spacing w:after="120" w:before="240"/>
      </w:pPr>
      <w:r>
        <w:t xml:space="preserve">2.1 What the screenshots show</w:t>
      </w:r>
    </w:p>
    <w:p>
      <w:pPr>
        <w:pStyle w:val="ListParagraph"/>
        <w:numPr>
          <w:ilvl w:val="0"/>
          <w:numId w:val="2"/>
        </w:numPr>
        <w:spacing w:after="80"/>
      </w:pPr>
      <w:r>
        <w:rPr>
          <w:rFonts w:ascii="Calibri" w:cs="Calibri" w:eastAsia="Calibri" w:hAnsi="Calibri"/>
          <w:sz w:val="22"/>
          <w:szCs w:val="22"/>
        </w:rPr>
        <w:t xml:space="preserve">The billing screen (billingflow.jsf) reads a patient's “Patient Advance” table, which lists rows by Acc Type (e.g. “Loyalty”, “On Account”), each with an Available amount and an Adjusting input field the billing staff fills in at the point of invoice approval.</w:t>
      </w:r>
    </w:p>
    <w:p>
      <w:pPr>
        <w:pStyle w:val="ListParagraph"/>
        <w:numPr>
          <w:ilvl w:val="0"/>
          <w:numId w:val="2"/>
        </w:numPr>
        <w:spacing w:after="80"/>
      </w:pPr>
      <w:r>
        <w:rPr>
          <w:rFonts w:ascii="Calibri" w:cs="Calibri" w:eastAsia="Calibri" w:hAnsi="Calibri"/>
          <w:sz w:val="22"/>
          <w:szCs w:val="22"/>
        </w:rPr>
        <w:t xml:space="preserve">The DEPOSIT_LOG grid shows 4 rows for one visit (547058): two DEPOSIT_TYPE=13 (Loyalty) rows — one status=Block, amount 1630, and one status=UnBlock, amount 1750 — plus a DEPOSIT_TYPE=1 Block row (250, a different deposit type/“On Account”) and a second UnBlock row (2000).</w:t>
      </w:r>
    </w:p>
    <w:p>
      <w:pPr>
        <w:pStyle w:val="ListParagraph"/>
        <w:numPr>
          <w:ilvl w:val="0"/>
          <w:numId w:val="2"/>
        </w:numPr>
        <w:spacing w:after="80"/>
      </w:pPr>
      <w:r>
        <w:rPr>
          <w:rFonts w:ascii="Calibri" w:cs="Calibri" w:eastAsia="Calibri" w:hAnsi="Calibri"/>
          <w:sz w:val="22"/>
          <w:szCs w:val="22"/>
        </w:rPr>
        <w:t xml:space="preserve">This is consistent with an insert-new-row-per-state-change model, not an update-in-place model — see §2.2.</w:t>
      </w:r>
    </w:p>
    <w:p>
      <w:pPr>
        <w:pStyle w:val="Heading2"/>
        <w:spacing w:after="120" w:before="240"/>
      </w:pPr>
      <w:r>
        <w:t xml:space="preserve">2.2 Block vs. UnBlock — insert-new vs. update-in-place</w:t>
      </w:r>
    </w:p>
    <w:p>
      <w:pPr>
        <w:spacing w:after="160"/>
      </w:pPr>
      <w:r>
        <w:rPr>
          <w:rFonts w:ascii="Calibri" w:cs="Calibri" w:eastAsia="Calibri" w:hAnsi="Calibri"/>
          <w:b w:val="false"/>
          <w:bCs w:val="false"/>
          <w:i w:val="false"/>
          <w:iCs w:val="false"/>
          <w:sz w:val="22"/>
          <w:szCs w:val="22"/>
        </w:rPr>
        <w:t xml:space="preserve">The DEPOSIT_LOG data shows multiple rows for the same VISIT/RECEIPTS with different DEPOSIT_STATUS values (Block, UnBlock) and different DEPOSIT_AMOUNT values (1630, 1750, 2000) rather than a single row whose status/amount field was overwritten in place. That is strong evidence Oracle's own workflow treats DEPOSIT_LOG as an append-only event log: each Block or UnBlock is a new row, and the currently-active balance for a given (PATIENT/VISIT, DEPOSIT_TYPE) is derived by reading the log rather than trusting a single mutable record.</w:t>
      </w:r>
    </w:p>
    <w:p>
      <w:pPr>
        <w:spacing w:after="160"/>
      </w:pPr>
      <w:r>
        <w:rPr>
          <w:rFonts w:ascii="Calibri" w:cs="Calibri" w:eastAsia="Calibri" w:hAnsi="Calibri"/>
          <w:b w:val="false"/>
          <w:bCs w:val="false"/>
          <w:i w:val="false"/>
          <w:iCs w:val="false"/>
          <w:sz w:val="22"/>
          <w:szCs w:val="22"/>
        </w:rPr>
        <w:t xml:space="preserve">This matters directly for the design in §5: rather than guessing, HDSP's new write path should follow the same convention already visible in Oracle's own data — insert a new Block row representing the current redeemable balance, and treat any prior Block row for the same DEPOSIT_TYPE=13 scope as superseded, rather than issuing an UPDATE against an existing DEPOSIT_LOG_ID. Section 5 gives the exact recommended SQL shape and the open question that must be confirmed with the Oracle/HIS team before this ships (see §5.3).</w:t>
      </w:r>
    </w:p>
    <w:p>
      <w:pPr>
        <w:pStyle w:val="Heading2"/>
        <w:spacing w:after="120" w:before="240"/>
      </w:pPr>
      <w:r>
        <w:t xml:space="preserve">2.3 Current billing-time deduction</w:t>
      </w:r>
    </w:p>
    <w:p>
      <w:pPr>
        <w:spacing w:after="160"/>
      </w:pPr>
      <w:r>
        <w:rPr>
          <w:rFonts w:ascii="Calibri" w:cs="Calibri" w:eastAsia="Calibri" w:hAnsi="Calibri"/>
          <w:b w:val="false"/>
          <w:bCs w:val="false"/>
          <w:i w:val="false"/>
          <w:iCs w:val="false"/>
          <w:sz w:val="22"/>
          <w:szCs w:val="22"/>
        </w:rPr>
        <w:t xml:space="preserve">Per the task brief: patient arrives → billing page displays the Loyalty deposit → staff selects an amount to apply → staff clicks Approve → Oracle deducts the blocked amount. In DEPOSIT_LOG terms this looks like: the active Block row's amount is what billing offers as available; on Approve, Oracle records the consumption, most plausibly by inserting an UnBlock row (or a reduced-amount Block row) reflecting the post-redemption balance. Today this entire loop is Oracle-native — HDSP has no visibility into it and does not write DEPOSIT_LOG at all. The new work closes that loop from both ends: HDSP writes the Block balance forward (recalculated after every bill), and HDSP's existing bill-polling sync detects the redemption that Oracle recorded and reconciles the Postgres ledger.</w:t>
      </w:r>
    </w:p>
    <w:p>
      <w:pPr>
        <w:pStyle w:val="Heading1"/>
        <w:spacing w:after="160" w:before="320"/>
      </w:pPr>
      <w:r>
        <w:t xml:space="preserve">3. Integration Points — Files That Must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 (NEW)</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service, sibling to his-loyalty-bridge.service.ts. Owns all DEPOSIT_LOG reads/writes: insertBlock(), findActiveBlock(), detectRedemption().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backend/src/modules/his/billing/his-loyalty-bridge.service.ts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functional change required; may optionally also carry the recomputed redeemable amount (already does, via REDEEMABLE_AMOUNT column) — kept as the read-model for the HIS UI summary, unrelated to the transactional DEPOSIT_LOG write.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earnFromBill / adjustFromBill / reverseFromBill commit, call the new bridge's insertBlock() with the freshly recomputed computeDiscount().cardValue — same fire-and-forget, post-commit convention already used for pushAccountToOracle().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createRedemption()/processRedemption() commit, call insertBlock() with the new balance (previous − redeemed + any newly earned in same cycle).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Extend syncNewBills(): after processing each bill's EARN/ADJUST/REVERSE, also (a) recompute the redeemable balance and push a new Block row, and (b) query DEPOSIT_LOG for redemption rows (UnBlock / reduced Block) that occurred in Oracle billing since the last cursor and feed them into TransactionService as a new REDEEM/RECONCILE transaction type. Reuses the existing ORACLE_RETRY_KEY Redis retry queue for the Block push.</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'RECONCILE' (or reuse 'REDEEM') to the transaction_type enum so Oracle-detected redemptions have a distinct, queryable audit trail from app-initiated redemptions.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backend/src/database/migrations/&lt;timestamp&gt;-AddOracleDepositSyncColumns.ts (NEW)</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Adds tracking columns described in §4.</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backend/src/modules/his/config/his-config.service.ts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config keys for the deposit table/column mapping (deposit.table, deposit.col.*, deposit.type.loyalty=13) mirroring the existing billing.table/billing.col.* pattern, since column names are already known to be tenant-configurable in this codebase.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 / his-config.module.ts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the new bridge service as a provider; inject IOracleTransport the same way every other Oracle service does.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an admin diagnostic endpoint, e.g. GET /his/sync/test-deposit-bridge, mirroring the existing test-bridge endpoint, plus a manual reconciliation trigger for support use.</w:t>
            </w:r>
          </w:p>
        </w:tc>
      </w:tr>
    </w:tbl>
    <w:p>
      <w:pPr>
        <w:pStyle w:val="Heading1"/>
        <w:spacing w:after="160" w:before="320"/>
      </w:pPr>
      <w:r>
        <w:t xml:space="preserve">4. Database Changes (HDSP / Postgres)</w:t>
      </w:r>
    </w:p>
    <w:p>
      <w:pPr>
        <w:spacing w:after="160"/>
      </w:pPr>
      <w:r>
        <w:rPr>
          <w:rFonts w:ascii="Calibri" w:cs="Calibri" w:eastAsia="Calibri" w:hAnsi="Calibri"/>
          <w:b w:val="false"/>
          <w:bCs w:val="false"/>
          <w:i w:val="false"/>
          <w:iCs w:val="false"/>
          <w:sz w:val="22"/>
          <w:szCs w:val="22"/>
        </w:rPr>
        <w:t xml:space="preserve">No new tables are required — loyalty_accounts and loyalty_transactions already hold everything needed to derive the current redeemable balance. The changes needed are additive tracking columns plus one enum value, all backward-compatible: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Column (new)</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oracle_deposit_log_id (nullable bigint)</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Last Oracle DEPOSIT_LOG_ID written for this account's active Block row — lets the bridge find/supersede the right row without a full-table scan.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oracle_deposit_synced_amount (nullable numeric 12,2)</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The redeemable amount value as last confirmed written to Oracle — used to skip a no-op push when nothing changed, and to detect drift during reconciliation.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oracle_deposit_sync_status (enum: SYNCED / PENDING / FAILED, default PENDING)</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Observability — lets an admin/reconciliation job find accounts whose Oracle mirror is stale.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oracle_deposit_synced_at (nullable timestamptz)</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Last successful push timestamp.</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loyalty_transactions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transaction_type enum</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RECONCILE (or reuse REDEEM with a new reference_type='ORACLE_DEPOSIT') to record redemptions detected from Oracle rather than initiated by HDSP.</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loyalty_transactions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external_reference_id (nullable varchar)</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Stores the Oracle DEPOSIT_LOG_ID of the UnBlock/consuming row when transaction_type=RECONCILE — the idempotency key for §6.</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A partial unique index should be added on loyalty_transactions(account_id, external_reference_id) WHERE transaction_type = 'RECONCILE' — the same idempotency pattern as the existing uq_earn_per_bill index, guaranteeing a given Oracle DEPOSIT_LOG redemption row can only ever produce one Postgres ledger entry, even if the sync tick runs twice or overlaps.</w:t>
      </w:r>
    </w:p>
    <w:p>
      <w:pPr>
        <w:pStyle w:val="Heading1"/>
        <w:spacing w:after="160" w:before="320"/>
      </w:pPr>
      <w:r>
        <w:t xml:space="preserve">5. Oracle Changes — Exact SQL Operations</w:t>
      </w:r>
    </w:p>
    <w:p>
      <w:pPr>
        <w:pStyle w:val="Heading2"/>
        <w:spacing w:after="120" w:before="240"/>
      </w:pPr>
      <w:r>
        <w:t xml:space="preserve">5.1 Writing the Block (HDSP → Oracle)</w:t>
      </w:r>
    </w:p>
    <w:p>
      <w:pPr>
        <w:spacing w:after="160"/>
      </w:pPr>
      <w:r>
        <w:rPr>
          <w:rFonts w:ascii="Calibri" w:cs="Calibri" w:eastAsia="Calibri" w:hAnsi="Calibri"/>
          <w:b w:val="false"/>
          <w:bCs w:val="false"/>
          <w:i w:val="false"/>
          <w:iCs w:val="false"/>
          <w:sz w:val="22"/>
          <w:szCs w:val="22"/>
        </w:rPr>
        <w:t xml:space="preserve">Following this codebase's one established Oracle-write convention (MERGE ... USING DUAL, used identically in his-loyalty-bridge.service.ts, duty-actual-updater.service.ts, and token-kiosk.service.ts) combined with the append-only pattern already visible in Oracle's own DEPOSIT_LOG data (§2.2), the recommended shape is an INSERT of a new row per recalculation, not an in-place UPDATE of DEPOSIT_AMOUNT: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INSERT INTO DEPOSIT_LOG (</w:t>
      </w:r>
      <w:r>
        <w:br/>
        <w:t xml:space="preserve"/>
      </w:r>
      <w:r>
        <w:rPr>
          <w:rFonts w:ascii="Consolas" w:cs="Consolas" w:eastAsia="Consolas" w:hAnsi="Consolas"/>
          <w:sz w:val="18"/>
          <w:szCs w:val="18"/>
        </w:rPr>
        <w:t xml:space="preserve">  DEPOSIT_LOG_ID, SITE, PATIENT_ID, VISIT, RECEIPTS,</w:t>
      </w:r>
      <w:r>
        <w:br/>
        <w:t xml:space="preserve"/>
      </w:r>
      <w:r>
        <w:rPr>
          <w:rFonts w:ascii="Consolas" w:cs="Consolas" w:eastAsia="Consolas" w:hAnsi="Consolas"/>
          <w:sz w:val="18"/>
          <w:szCs w:val="18"/>
        </w:rPr>
        <w:t xml:space="preserve">  DEPOSIT_TYPE, DEPOSIT_STATUS, DEPOSIT_AMOUNT,</w:t>
      </w:r>
      <w:r>
        <w:br/>
        <w:t xml:space="preserve"/>
      </w:r>
      <w:r>
        <w:rPr>
          <w:rFonts w:ascii="Consolas" w:cs="Consolas" w:eastAsia="Consolas" w:hAnsi="Consolas"/>
          <w:sz w:val="18"/>
          <w:szCs w:val="18"/>
        </w:rPr>
        <w:t xml:space="preserve">  DEPOSIT_SPECIFIC_TYPE, DEPOSIT_SPECIFIC_ID,</w:t>
      </w:r>
      <w:r>
        <w:br/>
        <w:t xml:space="preserve"/>
      </w:r>
      <w:r>
        <w:rPr>
          <w:rFonts w:ascii="Consolas" w:cs="Consolas" w:eastAsia="Consolas" w:hAnsi="Consolas"/>
          <w:sz w:val="18"/>
          <w:szCs w:val="18"/>
        </w:rPr>
        <w:t xml:space="preserve">  CREATEDBY, CREATEDDATE</w:t>
      </w:r>
      <w:r>
        <w:br/>
        <w:t xml:space="preserve"/>
      </w:r>
      <w:r>
        <w:rPr>
          <w:rFonts w:ascii="Consolas" w:cs="Consolas" w:eastAsia="Consolas" w:hAnsi="Consolas"/>
          <w:sz w:val="18"/>
          <w:szCs w:val="18"/>
        </w:rPr>
        <w:t xml:space="preserve">) VALUES (</w:t>
      </w:r>
      <w:r>
        <w:br/>
        <w:t xml:space="preserve"/>
      </w:r>
      <w:r>
        <w:rPr>
          <w:rFonts w:ascii="Consolas" w:cs="Consolas" w:eastAsia="Consolas" w:hAnsi="Consolas"/>
          <w:sz w:val="18"/>
          <w:szCs w:val="18"/>
        </w:rPr>
        <w:t xml:space="preserve">  DEPOSIT_LOG_SEQ.NEXTVAL, :site, :patientId, :visitId, :receiptId,</w:t>
      </w:r>
      <w:r>
        <w:br/>
        <w:t xml:space="preserve"/>
      </w:r>
      <w:r>
        <w:rPr>
          <w:rFonts w:ascii="Consolas" w:cs="Consolas" w:eastAsia="Consolas" w:hAnsi="Consolas"/>
          <w:sz w:val="18"/>
          <w:szCs w:val="18"/>
        </w:rPr>
        <w:t xml:space="preserve">  13, 'Block', :redeemableAmount,</w:t>
      </w:r>
      <w:r>
        <w:br/>
        <w:t xml:space="preserve"/>
      </w:r>
      <w:r>
        <w:rPr>
          <w:rFonts w:ascii="Consolas" w:cs="Consolas" w:eastAsia="Consolas" w:hAnsi="Consolas"/>
          <w:sz w:val="18"/>
          <w:szCs w:val="18"/>
        </w:rPr>
        <w:t xml:space="preserve">  NULL, NULL,</w:t>
      </w:r>
      <w:r>
        <w:br/>
        <w:t xml:space="preserve"/>
      </w:r>
      <w:r>
        <w:rPr>
          <w:rFonts w:ascii="Consolas" w:cs="Consolas" w:eastAsia="Consolas" w:hAnsi="Consolas"/>
          <w:sz w:val="18"/>
          <w:szCs w:val="18"/>
        </w:rPr>
        <w:t xml:space="preserve">  :createdBy, SYSTIMESTAMP</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RETURNING DEPOSIT_LOG_ID INTO :newId</w:t>
      </w:r>
    </w:p>
    <w:p>
      <w:pPr>
        <w:spacing w:after="160"/>
      </w:pPr>
      <w:r>
        <w:rPr>
          <w:rFonts w:ascii="Calibri" w:cs="Calibri" w:eastAsia="Calibri" w:hAnsi="Calibri"/>
          <w:b w:val="false"/>
          <w:bCs w:val="false"/>
          <w:i w:val="false"/>
          <w:iCs w:val="false"/>
          <w:sz w:val="22"/>
          <w:szCs w:val="22"/>
        </w:rPr>
        <w:t xml:space="preserve">If, after confirming with the Oracle/HIS DBA (see §5.3), the correct convention turns out to be “update the existing active Block row in place,” the fallback is a MERGE keyed on the last-known DEPOSIT_LOG_ID (stored in loyalty_accounts.oracle_deposit_log_id, §4):</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MERGE INTO DEPOSIT_LOG tgt</w:t>
      </w:r>
      <w:r>
        <w:br/>
        <w:t xml:space="preserve"/>
      </w:r>
      <w:r>
        <w:rPr>
          <w:rFonts w:ascii="Consolas" w:cs="Consolas" w:eastAsia="Consolas" w:hAnsi="Consolas"/>
          <w:sz w:val="18"/>
          <w:szCs w:val="18"/>
        </w:rPr>
        <w:t xml:space="preserve">USING DUAL</w:t>
      </w:r>
      <w:r>
        <w:br/>
        <w:t xml:space="preserve"/>
      </w:r>
      <w:r>
        <w:rPr>
          <w:rFonts w:ascii="Consolas" w:cs="Consolas" w:eastAsia="Consolas" w:hAnsi="Consolas"/>
          <w:sz w:val="18"/>
          <w:szCs w:val="18"/>
        </w:rPr>
        <w:t xml:space="preserve">ON (tgt.DEPOSIT_LOG_ID = :depositLogId)</w:t>
      </w:r>
      <w:r>
        <w:br/>
        <w:t xml:space="preserve"/>
      </w:r>
      <w:r>
        <w:rPr>
          <w:rFonts w:ascii="Consolas" w:cs="Consolas" w:eastAsia="Consolas" w:hAnsi="Consolas"/>
          <w:sz w:val="18"/>
          <w:szCs w:val="18"/>
        </w:rPr>
        <w:t xml:space="preserve">WHEN MATCHED THEN</w:t>
      </w:r>
      <w:r>
        <w:br/>
        <w:t xml:space="preserve"/>
      </w:r>
      <w:r>
        <w:rPr>
          <w:rFonts w:ascii="Consolas" w:cs="Consolas" w:eastAsia="Consolas" w:hAnsi="Consolas"/>
          <w:sz w:val="18"/>
          <w:szCs w:val="18"/>
        </w:rPr>
        <w:t xml:space="preserve">  UPDATE SET DEPOSIT_AMOUNT = :redeemableAmount, DEPOSIT_STATUS = 'Block'</w:t>
      </w:r>
      <w:r>
        <w:br/>
        <w:t xml:space="preserve"/>
      </w:r>
      <w:r>
        <w:rPr>
          <w:rFonts w:ascii="Consolas" w:cs="Consolas" w:eastAsia="Consolas" w:hAnsi="Consolas"/>
          <w:sz w:val="18"/>
          <w:szCs w:val="18"/>
        </w:rPr>
        <w:t xml:space="preserve">WHEN NOT MATCHED THEN</w:t>
      </w:r>
      <w:r>
        <w:br/>
        <w:t xml:space="preserve"/>
      </w:r>
      <w:r>
        <w:rPr>
          <w:rFonts w:ascii="Consolas" w:cs="Consolas" w:eastAsia="Consolas" w:hAnsi="Consolas"/>
          <w:sz w:val="18"/>
          <w:szCs w:val="18"/>
        </w:rPr>
        <w:t xml:space="preserve">  INSERT (DEPOSIT_LOG_ID, SITE, PATIENT_ID, VISIT, RECEIPTS,</w:t>
      </w:r>
      <w:r>
        <w:br/>
        <w:t xml:space="preserve"/>
      </w:r>
      <w:r>
        <w:rPr>
          <w:rFonts w:ascii="Consolas" w:cs="Consolas" w:eastAsia="Consolas" w:hAnsi="Consolas"/>
          <w:sz w:val="18"/>
          <w:szCs w:val="18"/>
        </w:rPr>
        <w:t xml:space="preserve">          DEPOSIT_TYPE, DEPOSIT_STATUS, DEPOSIT_AMOUNT, CREATEDBY, CREATEDDATE)</w:t>
      </w:r>
      <w:r>
        <w:br/>
        <w:t xml:space="preserve"/>
      </w:r>
      <w:r>
        <w:rPr>
          <w:rFonts w:ascii="Consolas" w:cs="Consolas" w:eastAsia="Consolas" w:hAnsi="Consolas"/>
          <w:sz w:val="18"/>
          <w:szCs w:val="18"/>
        </w:rPr>
        <w:t xml:space="preserve">  VALUES (DEPOSIT_LOG_SEQ.NEXTVAL, :site, :patientId, :visitId, :receiptId,</w:t>
      </w:r>
      <w:r>
        <w:br/>
        <w:t xml:space="preserve"/>
      </w:r>
      <w:r>
        <w:rPr>
          <w:rFonts w:ascii="Consolas" w:cs="Consolas" w:eastAsia="Consolas" w:hAnsi="Consolas"/>
          <w:sz w:val="18"/>
          <w:szCs w:val="18"/>
        </w:rPr>
        <w:t xml:space="preserve">          13, 'Block', :redeemableAmount, :createdBy, SYSTIMESTAMP)</w:t>
      </w:r>
    </w:p>
    <w:p>
      <w:pPr>
        <w:spacing w:after="160"/>
      </w:pPr>
      <w:r>
        <w:rPr>
          <w:rFonts w:ascii="Calibri" w:cs="Calibri" w:eastAsia="Calibri" w:hAnsi="Calibri"/>
          <w:b w:val="false"/>
          <w:bCs w:val="false"/>
          <w:i w:val="false"/>
          <w:iCs w:val="false"/>
          <w:sz w:val="22"/>
          <w:szCs w:val="22"/>
        </w:rPr>
        <w:t xml:space="preserve">Both variants are implemented behind the same OracleDepositLogBridgeService.insertBlock() method signature so the choice is a one-line switch once confirmed — see the open question in §5.3 and the decision step in §8.</w:t>
      </w:r>
    </w:p>
    <w:p>
      <w:pPr>
        <w:pStyle w:val="Heading2"/>
        <w:spacing w:after="120" w:before="240"/>
      </w:pPr>
      <w:r>
        <w:t xml:space="preserve">5.2 Reading redemptions (Oracle → HDSP)</w:t>
      </w:r>
    </w:p>
    <w:p>
      <w:pPr>
        <w:spacing w:after="160"/>
      </w:pPr>
      <w:r>
        <w:rPr>
          <w:rFonts w:ascii="Calibri" w:cs="Calibri" w:eastAsia="Calibri" w:hAnsi="Calibri"/>
          <w:b w:val="false"/>
          <w:bCs w:val="false"/>
          <w:i w:val="false"/>
          <w:iCs w:val="false"/>
          <w:sz w:val="22"/>
          <w:szCs w:val="22"/>
        </w:rPr>
        <w:t xml:space="preserve">Added to the existing bill-sync SELECT cycle in his-sync.service.ts, scoped by the same cursor mechanism already used for BILL_MASTER (UPDATED_AT / CREATEDDATE ≥ cursor):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SELECT DEPOSIT_LOG_ID, PATIENT_ID, VISIT, RECEIPTS,</w:t>
      </w:r>
      <w:r>
        <w:br/>
        <w:t xml:space="preserve"/>
      </w:r>
      <w:r>
        <w:rPr>
          <w:rFonts w:ascii="Consolas" w:cs="Consolas" w:eastAsia="Consolas" w:hAnsi="Consolas"/>
          <w:sz w:val="18"/>
          <w:szCs w:val="18"/>
        </w:rPr>
        <w:t xml:space="preserve">       DEPOSIT_STATUS, DEPOSIT_AMOUNT, CREATEDDATE</w:t>
      </w:r>
      <w:r>
        <w:br/>
        <w:t xml:space="preserve"/>
      </w:r>
      <w:r>
        <w:rPr>
          <w:rFonts w:ascii="Consolas" w:cs="Consolas" w:eastAsia="Consolas" w:hAnsi="Consolas"/>
          <w:sz w:val="18"/>
          <w:szCs w:val="18"/>
        </w:rPr>
        <w:t xml:space="preserve">FROM   DEPOSIT_LOG</w:t>
      </w:r>
      <w:r>
        <w:br/>
        <w:t xml:space="preserve"/>
      </w:r>
      <w:r>
        <w:rPr>
          <w:rFonts w:ascii="Consolas" w:cs="Consolas" w:eastAsia="Consolas" w:hAnsi="Consolas"/>
          <w:sz w:val="18"/>
          <w:szCs w:val="18"/>
        </w:rPr>
        <w:t xml:space="preserve">WHERE  DEPOSIT_TYPE = 13</w:t>
      </w:r>
      <w:r>
        <w:br/>
        <w:t xml:space="preserve"/>
      </w:r>
      <w:r>
        <w:rPr>
          <w:rFonts w:ascii="Consolas" w:cs="Consolas" w:eastAsia="Consolas" w:hAnsi="Consolas"/>
          <w:sz w:val="18"/>
          <w:szCs w:val="18"/>
        </w:rPr>
        <w:t xml:space="preserve">  AND  CREATEDDATE &gt; :cursor</w:t>
      </w:r>
      <w:r>
        <w:br/>
        <w:t xml:space="preserve"/>
      </w:r>
      <w:r>
        <w:rPr>
          <w:rFonts w:ascii="Consolas" w:cs="Consolas" w:eastAsia="Consolas" w:hAnsi="Consolas"/>
          <w:sz w:val="18"/>
          <w:szCs w:val="18"/>
        </w:rPr>
        <w:t xml:space="preserve">ORDER  BY CREATEDDATE ASC</w:t>
      </w:r>
    </w:p>
    <w:p>
      <w:pPr>
        <w:spacing w:after="160"/>
      </w:pPr>
      <w:r>
        <w:rPr>
          <w:rFonts w:ascii="Calibri" w:cs="Calibri" w:eastAsia="Calibri" w:hAnsi="Calibri"/>
          <w:b w:val="false"/>
          <w:bCs w:val="false"/>
          <w:i w:val="false"/>
          <w:iCs w:val="false"/>
          <w:sz w:val="22"/>
          <w:szCs w:val="22"/>
        </w:rPr>
        <w:t xml:space="preserve">Rows with DEPOSIT_STATUS = 'UnBlock' (or a Block row whose amount is lower than the last-synced amount for that patient) represent a redemption event at Oracle billing approval. Each is converted into exactly one Postgres RECONCILE transaction, keyed by DEPOSIT_LOG_ID via the external_reference_id unique index from §4.</w:t>
      </w:r>
    </w:p>
    <w:p>
      <w:pPr>
        <w:pStyle w:val="Heading2"/>
        <w:spacing w:after="120" w:before="240"/>
      </w:pPr>
      <w:r>
        <w:t xml:space="preserve">5.3 Open question that must be confirmed before implementation</w:t>
      </w:r>
    </w:p>
    <w:p>
      <w:pPr>
        <w:spacing w:after="160"/>
      </w:pPr>
      <w:r>
        <w:rPr>
          <w:rFonts w:ascii="Calibri" w:cs="Calibri" w:eastAsia="Calibri" w:hAnsi="Calibri"/>
          <w:b w:val="false"/>
          <w:bCs w:val="false"/>
          <w:i w:val="false"/>
          <w:iCs w:val="false"/>
          <w:sz w:val="22"/>
          <w:szCs w:val="22"/>
        </w:rPr>
        <w:t xml:space="preserve">The task brief explicitly says “do not assume” whether Oracle expects update-in-place or insert-new-and-invalidate. The DEPOSIT_LOG sample data is consistent with insert-new (§2.2), but that is inferred from four rows in one visit, not from an Oracle HIS specification or stored-procedure source. Before writing the Oracle-write code, this should be confirmed with whoever owns the Oracle/HIS billing module — specifically: (a) does the Oracle billing screen's own Block/UnBlock logic ever UPDATE a DEPOSIT_AMOUNT in place, or does it always INSERT a new row, and (b) is there a DEPOSIT_LOG_SEQ sequence and any DB trigger/stored procedure already responsible for this table that HDSP must not bypass. This is the one item in this report that is a recommendation pending confirmation rather than a settled design decision.</w:t>
      </w:r>
    </w:p>
    <w:p>
      <w:pPr>
        <w:pStyle w:val="Heading1"/>
        <w:spacing w:after="160" w:before="320"/>
      </w:pPr>
      <w:r>
        <w:t xml:space="preserve">6. Sequence Diagram — End to 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Patient Registration</w:t>
      </w:r>
      <w:r>
        <w:br/>
        <w:t xml:space="preserve"/>
      </w:r>
      <w:r>
        <w:rPr>
          <w:rFonts w:ascii="Consolas" w:cs="Consolas" w:eastAsia="Consolas" w:hAnsi="Consolas"/>
          <w:sz w:val="18"/>
          <w:szCs w:val="18"/>
        </w:rPr>
        <w:t xml:space="preserve">   |  (existing) HisSyncService.autoEnrollPatient() -&gt; EnrollmentService.enrollOrGet()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Billing (Oracle HIS, native)</w:t>
      </w:r>
      <w:r>
        <w:br/>
        <w:t xml:space="preserve"/>
      </w:r>
      <w:r>
        <w:rPr>
          <w:rFonts w:ascii="Consolas" w:cs="Consolas" w:eastAsia="Consolas" w:hAnsi="Consolas"/>
          <w:sz w:val="18"/>
          <w:szCs w:val="18"/>
        </w:rPr>
        <w:t xml:space="preserve">   |  Bill finalized in BILL_MASTER</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HDSP Bill Sync  [HisSyncScheduler tick, every HIS_SYNC_INTERVAL_MS]</w:t>
      </w:r>
      <w:r>
        <w:br/>
        <w:t xml:space="preserve"/>
      </w:r>
      <w:r>
        <w:rPr>
          <w:rFonts w:ascii="Consolas" w:cs="Consolas" w:eastAsia="Consolas" w:hAnsi="Consolas"/>
          <w:sz w:val="18"/>
          <w:szCs w:val="18"/>
        </w:rPr>
        <w:t xml:space="preserve">   |  BillingService.getChangedBills(cursor) -&gt; new/changed bill rows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Loyalty Calculation  [TransactionService.earnFromBill / adjustFromBill]</w:t>
      </w:r>
      <w:r>
        <w:br/>
        <w:t xml:space="preserve"/>
      </w:r>
      <w:r>
        <w:rPr>
          <w:rFonts w:ascii="Consolas" w:cs="Consolas" w:eastAsia="Consolas" w:hAnsi="Consolas"/>
          <w:sz w:val="18"/>
          <w:szCs w:val="18"/>
        </w:rPr>
        <w:t xml:space="preserve">   |  PointEngineService.calculateEarnPoints()  -&gt; points delta</w:t>
      </w:r>
      <w:r>
        <w:br/>
        <w:t xml:space="preserve"/>
      </w:r>
      <w:r>
        <w:rPr>
          <w:rFonts w:ascii="Consolas" w:cs="Consolas" w:eastAsia="Consolas" w:hAnsi="Consolas"/>
          <w:sz w:val="18"/>
          <w:szCs w:val="18"/>
        </w:rPr>
        <w:t xml:space="preserve">   |  Postgres TX: loyalty_transactions INSERT (EARN), loyalty_accounts UPDATE</w:t>
      </w:r>
      <w:r>
        <w:br/>
        <w:t xml:space="preserve"/>
      </w:r>
      <w:r>
        <w:rPr>
          <w:rFonts w:ascii="Consolas" w:cs="Consolas" w:eastAsia="Consolas" w:hAnsi="Consolas"/>
          <w:sz w:val="18"/>
          <w:szCs w:val="18"/>
        </w:rPr>
        <w:t xml:space="preserve">   |  COMMIT  (source of truth persisted)</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Redeemable Amount Recalculated</w:t>
      </w:r>
      <w:r>
        <w:br/>
        <w:t xml:space="preserve"/>
      </w:r>
      <w:r>
        <w:rPr>
          <w:rFonts w:ascii="Consolas" w:cs="Consolas" w:eastAsia="Consolas" w:hAnsi="Consolas"/>
          <w:sz w:val="18"/>
          <w:szCs w:val="18"/>
        </w:rPr>
        <w:t xml:space="preserve">   |  PointEngineService.computeDiscount(availablePoints, category) -&gt; cardValue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Deposit Block  [NEW: OracleDepositLogBridgeService.insertBlock(), post-commit, fire-and-forget]</w:t>
      </w:r>
      <w:r>
        <w:br/>
        <w:t xml:space="preserve"/>
      </w:r>
      <w:r>
        <w:rPr>
          <w:rFonts w:ascii="Consolas" w:cs="Consolas" w:eastAsia="Consolas" w:hAnsi="Consolas"/>
          <w:sz w:val="18"/>
          <w:szCs w:val="18"/>
        </w:rPr>
        <w:t xml:space="preserve">   |  INSERT/MERGE DEPOSIT_LOG (DEPOSIT_TYPE=13, DEPOSIT_STATUS='Block', DEPOSIT_AMOUNT=cardValue)</w:t>
      </w:r>
      <w:r>
        <w:br/>
        <w:t xml:space="preserve"/>
      </w:r>
      <w:r>
        <w:rPr>
          <w:rFonts w:ascii="Consolas" w:cs="Consolas" w:eastAsia="Consolas" w:hAnsi="Consolas"/>
          <w:sz w:val="18"/>
          <w:szCs w:val="18"/>
        </w:rPr>
        <w:t xml:space="preserve">   |  on failure -&gt; ORACLE_RETRY_KEY Redis queue, drained next tick (existing mechanism)</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Patient returns; Billing page (Oracle HIS, native)</w:t>
      </w:r>
      <w:r>
        <w:br/>
        <w:t xml:space="preserve"/>
      </w:r>
      <w:r>
        <w:rPr>
          <w:rFonts w:ascii="Consolas" w:cs="Consolas" w:eastAsia="Consolas" w:hAnsi="Consolas"/>
          <w:sz w:val="18"/>
          <w:szCs w:val="18"/>
        </w:rPr>
        <w:t xml:space="preserve">   |  reads DEPOSIT_LOG active Block row -&gt; shows available loyalty balance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Staff redeems partial/full amount -&gt; clicks Approve</w:t>
      </w:r>
      <w:r>
        <w:br/>
        <w:t xml:space="preserve"/>
      </w:r>
      <w:r>
        <w:rPr>
          <w:rFonts w:ascii="Consolas" w:cs="Consolas" w:eastAsia="Consolas" w:hAnsi="Consolas"/>
          <w:sz w:val="18"/>
          <w:szCs w:val="18"/>
        </w:rPr>
        <w:t xml:space="preserve">   |  Oracle billing consumes the Block (UnBlock / reduced-amount row) -- native Oracle behavior</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HDSP Redemption Detection  [NEW: HisSyncService reads DEPOSIT_LOG since cursor]</w:t>
      </w:r>
      <w:r>
        <w:br/>
        <w:t xml:space="preserve"/>
      </w:r>
      <w:r>
        <w:rPr>
          <w:rFonts w:ascii="Consolas" w:cs="Consolas" w:eastAsia="Consolas" w:hAnsi="Consolas"/>
          <w:sz w:val="18"/>
          <w:szCs w:val="18"/>
        </w:rPr>
        <w:t xml:space="preserve">   |  finds UnBlock/reduced row -&gt; TransactionService posts RECONCILE txn</w:t>
      </w:r>
      <w:r>
        <w:br/>
        <w:t xml:space="preserve"/>
      </w:r>
      <w:r>
        <w:rPr>
          <w:rFonts w:ascii="Consolas" w:cs="Consolas" w:eastAsia="Consolas" w:hAnsi="Consolas"/>
          <w:sz w:val="18"/>
          <w:szCs w:val="18"/>
        </w:rPr>
        <w:t xml:space="preserve">   |  idempotent via unique(account_id, external_reference_id) WHERE type='RECONCILE'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Balance Update</w:t>
      </w:r>
      <w:r>
        <w:br/>
        <w:t xml:space="preserve"/>
      </w:r>
      <w:r>
        <w:rPr>
          <w:rFonts w:ascii="Consolas" w:cs="Consolas" w:eastAsia="Consolas" w:hAnsi="Consolas"/>
          <w:sz w:val="18"/>
          <w:szCs w:val="18"/>
        </w:rPr>
        <w:t xml:space="preserve">   |  new available_points = previous - redeemed_points</w:t>
      </w:r>
      <w:r>
        <w:br/>
        <w:t xml:space="preserve"/>
      </w:r>
      <w:r>
        <w:rPr>
          <w:rFonts w:ascii="Consolas" w:cs="Consolas" w:eastAsia="Consolas" w:hAnsi="Consolas"/>
          <w:sz w:val="18"/>
          <w:szCs w:val="18"/>
        </w:rPr>
        <w:t xml:space="preserve">   |  next bill's EARN adds newly earned points on top (loop continues at 'Billing')</w:t>
      </w:r>
      <w:r>
        <w:br/>
        <w:t xml:space="preserve"/>
      </w:r>
      <w:r>
        <w:rPr>
          <w:rFonts w:ascii="Consolas" w:cs="Consolas" w:eastAsia="Consolas" w:hAnsi="Consolas"/>
          <w:sz w:val="18"/>
          <w:szCs w:val="18"/>
        </w:rPr>
        <w:t xml:space="preserve">   |  new redeemable balance = (previous - redeemed) + newly earned  -- never just the delta</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Block Updated Again  (back to 'Oracle Deposit Block' step above)</w:t>
      </w:r>
    </w:p>
    <w:p>
      <w:pPr>
        <w:pStyle w:val="Heading1"/>
        <w:spacing w:after="160" w:before="320"/>
      </w:pPr>
      <w:r>
        <w:t xml:space="preserve">7. Edge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Case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Handling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RECONCILE transaction reduces available_points by exactly the redeemed amount (converted via point_value_per_100); remaining balance carries forward. Oracle Block is rewritten to the new balance, not zero.</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available_points -&gt; 0 (or remaining fractional balance below the smallest redeemable unit). Oracle Block row amount -&gt; 0 or omitted per HIS convention confirmed in §5.3; no negative balances permitted (existing CHECK constraint on loyalty_accounts.available_points ≥ 0 already enforces this).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Bridge push after EARN simply republishes the (increased) balance; idempotency check in §4 skips the Oracle write entirely if oracle_deposit_synced_amount already matches, avoiding a needless DEPOSIT_LOG row.</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Cancelled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Existing TransactionService.reverseFromBill() path already handles this for points; extend it to also trigger a Block-amount recompute/push so Oracle's visible balance reflects the reversal.</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Refunded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cancelled — reversed via the existing REVERSE transaction type, followed by a recomputed Block push.</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Recalculation (e.g. tier or config change)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CardConfigService's existing bulk tier recalculation should, after updating tiers, enqueue a Block-refresh pass (batched, via the existing BullMQ LOYALTY_EVENTS queue) rather than a synchronous per-account Oracle write, to avoid a write storm.</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scheduler execution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his-sync.scheduler.ts already guards against overlap with its running boolean; the new DEPOSIT_LOG write is additionally protected by the amount-comparison skip (no-op case above) and, for the read side, the RECONCILE unique index makes a duplicate DEPOSIT_LOG_ID read a guaranteed no-op even if two ticks somehow overlapped.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 unavailable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IOracleTransport.isAvailable / circuit breaker (§1.4) causes the bridge write to log and return immediately; loyalty calculation in Postgres already committed and is unaffected. Failed push queued in the existing ORACLE_RETRY_KEY Redis list (bounded at 50, drained 20/tick) exactly as his-loyalty-bridge.service.ts does today.</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Concurrent billing (two bills for the same patient near-simultaneously)</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 TransactionService writes are already serialized per account via the QueryRunner transaction pattern; the Oracle push always uses the balance read at the end of that committed transaction, so the last commit wins and the Oracle Block always reflects the latest committed Postgres state, never an interleaved partial value.</w:t>
            </w:r>
          </w:p>
        </w:tc>
      </w:tr>
    </w:tbl>
    <w:p>
      <w:pPr>
        <w:pStyle w:val="Heading1"/>
        <w:spacing w:after="160" w:before="320"/>
      </w:pPr>
      <w:r>
        <w:t xml:space="preserve">8. Implementation Plan</w:t>
      </w:r>
    </w:p>
    <w:p>
      <w:pPr>
        <w:spacing w:after="160"/>
      </w:pPr>
      <w:r>
        <w:rPr>
          <w:rFonts w:ascii="Calibri" w:cs="Calibri" w:eastAsia="Calibri" w:hAnsi="Calibri"/>
          <w:b w:val="false"/>
          <w:bCs w:val="false"/>
          <w:i w:val="false"/>
          <w:iCs w:val="false"/>
          <w:sz w:val="22"/>
          <w:szCs w:val="22"/>
        </w:rPr>
        <w:t xml:space="preserve">Steps are ordered so each is independently testable before the next begins; no step requires touching more than the files listed in §3.</w:t>
      </w:r>
    </w:p>
    <w:p>
      <w:pPr>
        <w:pStyle w:val="Heading2"/>
        <w:spacing w:after="120" w:before="240"/>
      </w:pPr>
      <w:r>
        <w:t xml:space="preserve">Step 0 — Confirm the open question (§5.3)</w:t>
      </w:r>
    </w:p>
    <w:p>
      <w:pPr>
        <w:pStyle w:val="ListParagraph"/>
        <w:numPr>
          <w:ilvl w:val="0"/>
          <w:numId w:val="2"/>
        </w:numPr>
        <w:spacing w:after="80"/>
      </w:pPr>
      <w:r>
        <w:rPr>
          <w:rFonts w:ascii="Calibri" w:cs="Calibri" w:eastAsia="Calibri" w:hAnsi="Calibri"/>
          <w:sz w:val="22"/>
          <w:szCs w:val="22"/>
        </w:rPr>
        <w:t xml:space="preserve">Verify with the Oracle/HIS billing owner whether Block balance updates are insert-new or update-in-place, and confirm DEPOSIT_LOG_SEQ / any owning trigger. This determines which SQL variant in §5.1 ships.</w:t>
      </w:r>
    </w:p>
    <w:p>
      <w:pPr>
        <w:pStyle w:val="Heading2"/>
        <w:spacing w:after="120" w:before="240"/>
      </w:pPr>
      <w:r>
        <w:t xml:space="preserve">Step 1 — Postgres schema</w:t>
      </w:r>
    </w:p>
    <w:p>
      <w:pPr>
        <w:pStyle w:val="ListParagraph"/>
        <w:numPr>
          <w:ilvl w:val="0"/>
          <w:numId w:val="2"/>
        </w:numPr>
        <w:spacing w:after="80"/>
      </w:pPr>
      <w:r>
        <w:rPr>
          <w:rFonts w:ascii="Calibri" w:cs="Calibri" w:eastAsia="Calibri" w:hAnsi="Calibri"/>
          <w:sz w:val="22"/>
          <w:szCs w:val="22"/>
        </w:rPr>
        <w:t xml:space="preserve">Add the migration from §4 (new columns + RECONCILE enum value + partial unique index).</w:t>
      </w:r>
    </w:p>
    <w:p>
      <w:pPr>
        <w:pStyle w:val="ListParagraph"/>
        <w:numPr>
          <w:ilvl w:val="0"/>
          <w:numId w:val="2"/>
        </w:numPr>
        <w:spacing w:after="80"/>
      </w:pPr>
      <w:r>
        <w:rPr>
          <w:rFonts w:ascii="Calibri" w:cs="Calibri" w:eastAsia="Calibri" w:hAnsi="Calibri"/>
          <w:sz w:val="22"/>
          <w:szCs w:val="22"/>
        </w:rPr>
        <w:t xml:space="preserve">Run against a staging DB; verify existing loyalty_accounts/loyalty_transactions rows are unaffected (all new columns nullable/defaulted).</w:t>
      </w:r>
    </w:p>
    <w:p>
      <w:pPr>
        <w:pStyle w:val="Heading2"/>
        <w:spacing w:after="120" w:before="240"/>
      </w:pPr>
      <w:r>
        <w:t xml:space="preserve">Step 2 — Oracle bridge service</w:t>
      </w:r>
    </w:p>
    <w:p>
      <w:pPr>
        <w:pStyle w:val="ListParagraph"/>
        <w:numPr>
          <w:ilvl w:val="0"/>
          <w:numId w:val="2"/>
        </w:numPr>
        <w:spacing w:after="80"/>
      </w:pPr>
      <w:r>
        <w:rPr>
          <w:rFonts w:ascii="Calibri" w:cs="Calibri" w:eastAsia="Calibri" w:hAnsi="Calibri"/>
          <w:sz w:val="22"/>
          <w:szCs w:val="22"/>
        </w:rPr>
        <w:t xml:space="preserve">Create OracleDepositLogBridgeService (backend/src/modules/his/billing/oracle-deposit-log-bridge.service.ts), modeled directly on HisLoyaltyBridgeService: constructor-injects IOracleTransport, exposes insertBlock(payload), findActiveBlock(patientId), never throws on failure, includes a testWrite()-style diagnostic method.</w:t>
      </w:r>
    </w:p>
    <w:p>
      <w:pPr>
        <w:pStyle w:val="ListParagraph"/>
        <w:numPr>
          <w:ilvl w:val="0"/>
          <w:numId w:val="2"/>
        </w:numPr>
        <w:spacing w:after="80"/>
      </w:pPr>
      <w:r>
        <w:rPr>
          <w:rFonts w:ascii="Calibri" w:cs="Calibri" w:eastAsia="Calibri" w:hAnsi="Calibri"/>
          <w:sz w:val="22"/>
          <w:szCs w:val="22"/>
        </w:rPr>
        <w:t xml:space="preserve">Register as a provider in his.module.ts.</w:t>
      </w:r>
    </w:p>
    <w:p>
      <w:pPr>
        <w:pStyle w:val="Heading2"/>
        <w:spacing w:after="120" w:before="240"/>
      </w:pPr>
      <w:r>
        <w:t xml:space="preserve">Step 3 — Wire the write path</w:t>
      </w:r>
    </w:p>
    <w:p>
      <w:pPr>
        <w:pStyle w:val="ListParagraph"/>
        <w:numPr>
          <w:ilvl w:val="0"/>
          <w:numId w:val="2"/>
        </w:numPr>
        <w:spacing w:after="80"/>
      </w:pPr>
      <w:r>
        <w:rPr>
          <w:rFonts w:ascii="Calibri" w:cs="Calibri" w:eastAsia="Calibri" w:hAnsi="Calibri"/>
          <w:sz w:val="22"/>
          <w:szCs w:val="22"/>
        </w:rPr>
        <w:t xml:space="preserve">In TransactionService (earnFromBill, adjustFromBill, reverseFromBill) and RedemptionService (createRedemption), after commitTransaction(), call the bridge's insertBlock() with the freshly recomputed computeDiscount().cardValue — same post-commit, fire-and-forget placement as the existing pushAccountToOracle() calls.</w:t>
      </w:r>
    </w:p>
    <w:p>
      <w:pPr>
        <w:pStyle w:val="ListParagraph"/>
        <w:numPr>
          <w:ilvl w:val="0"/>
          <w:numId w:val="2"/>
        </w:numPr>
        <w:spacing w:after="80"/>
      </w:pPr>
      <w:r>
        <w:rPr>
          <w:rFonts w:ascii="Calibri" w:cs="Calibri" w:eastAsia="Calibri" w:hAnsi="Calibri"/>
          <w:sz w:val="22"/>
          <w:szCs w:val="22"/>
        </w:rPr>
        <w:t xml:space="preserve">Add the amount-unchanged skip check against loyalty_accounts.oracle_deposit_synced_amount before writing.</w:t>
      </w:r>
    </w:p>
    <w:p>
      <w:pPr>
        <w:pStyle w:val="Heading2"/>
        <w:spacing w:after="120" w:before="240"/>
      </w:pPr>
      <w:r>
        <w:t xml:space="preserve">Step 4 — Wire the read path</w:t>
      </w:r>
    </w:p>
    <w:p>
      <w:pPr>
        <w:pStyle w:val="ListParagraph"/>
        <w:numPr>
          <w:ilvl w:val="0"/>
          <w:numId w:val="2"/>
        </w:numPr>
        <w:spacing w:after="80"/>
      </w:pPr>
      <w:r>
        <w:rPr>
          <w:rFonts w:ascii="Calibri" w:cs="Calibri" w:eastAsia="Calibri" w:hAnsi="Calibri"/>
          <w:sz w:val="22"/>
          <w:szCs w:val="22"/>
        </w:rPr>
        <w:t xml:space="preserve">Extend HisSyncService.syncNewBills() with a DEPOSIT_LOG poll (§5.2) using its own Redis cursor key (e.g. his:sync:deposit_cursor) so it can be reset/backfilled independently of the bill cursor.</w:t>
      </w:r>
    </w:p>
    <w:p>
      <w:pPr>
        <w:pStyle w:val="ListParagraph"/>
        <w:numPr>
          <w:ilvl w:val="0"/>
          <w:numId w:val="2"/>
        </w:numPr>
        <w:spacing w:after="80"/>
      </w:pPr>
      <w:r>
        <w:rPr>
          <w:rFonts w:ascii="Calibri" w:cs="Calibri" w:eastAsia="Calibri" w:hAnsi="Calibri"/>
          <w:sz w:val="22"/>
          <w:szCs w:val="22"/>
        </w:rPr>
        <w:t xml:space="preserve">Convert detected UnBlock/reduced rows into RECONCILE transactions via a new TransactionService.reconcileFromDeposit() method, following the same QueryRunner-transaction + partial-unique-index idempotency pattern as earnFromBill().</w:t>
      </w:r>
    </w:p>
    <w:p>
      <w:pPr>
        <w:pStyle w:val="Heading2"/>
        <w:spacing w:after="120" w:before="240"/>
      </w:pPr>
      <w:r>
        <w:t xml:space="preserve">Step 5 — Retry/observability</w:t>
      </w:r>
    </w:p>
    <w:p>
      <w:pPr>
        <w:pStyle w:val="ListParagraph"/>
        <w:numPr>
          <w:ilvl w:val="0"/>
          <w:numId w:val="2"/>
        </w:numPr>
        <w:spacing w:after="80"/>
      </w:pPr>
      <w:r>
        <w:rPr>
          <w:rFonts w:ascii="Calibri" w:cs="Calibri" w:eastAsia="Calibri" w:hAnsi="Calibri"/>
          <w:sz w:val="22"/>
          <w:szCs w:val="22"/>
        </w:rPr>
        <w:t xml:space="preserve">Reuse the existing ORACLE_RETRY_KEY bounded Redis queue for failed Block pushes (extend the payload union type rather than adding a second queue).</w:t>
      </w:r>
    </w:p>
    <w:p>
      <w:pPr>
        <w:pStyle w:val="ListParagraph"/>
        <w:numPr>
          <w:ilvl w:val="0"/>
          <w:numId w:val="2"/>
        </w:numPr>
        <w:spacing w:after="80"/>
      </w:pPr>
      <w:r>
        <w:rPr>
          <w:rFonts w:ascii="Calibri" w:cs="Calibri" w:eastAsia="Calibri" w:hAnsi="Calibri"/>
          <w:sz w:val="22"/>
          <w:szCs w:val="22"/>
        </w:rPr>
        <w:t xml:space="preserve">Add GET /his/sync/test-deposit-bridge and a reconciliation-status admin view surfacing oracle_deposit_sync_status per account.</w:t>
      </w:r>
    </w:p>
    <w:p>
      <w:pPr>
        <w:pStyle w:val="Heading2"/>
        <w:spacing w:after="120" w:before="240"/>
      </w:pPr>
      <w:r>
        <w:t xml:space="preserve">Step 6 — Testing</w:t>
      </w:r>
    </w:p>
    <w:p>
      <w:pPr>
        <w:pStyle w:val="ListParagraph"/>
        <w:numPr>
          <w:ilvl w:val="0"/>
          <w:numId w:val="2"/>
        </w:numPr>
        <w:spacing w:after="80"/>
      </w:pPr>
      <w:r>
        <w:rPr>
          <w:rFonts w:ascii="Calibri" w:cs="Calibri" w:eastAsia="Calibri" w:hAnsi="Calibri"/>
          <w:sz w:val="22"/>
          <w:szCs w:val="22"/>
        </w:rPr>
        <w:t xml:space="preserve">Unit tests for computeDiscount()-driven Block amount math under partial/full/no-redemption scenarios (§7).</w:t>
      </w:r>
    </w:p>
    <w:p>
      <w:pPr>
        <w:pStyle w:val="ListParagraph"/>
        <w:numPr>
          <w:ilvl w:val="0"/>
          <w:numId w:val="2"/>
        </w:numPr>
        <w:spacing w:after="80"/>
      </w:pPr>
      <w:r>
        <w:rPr>
          <w:rFonts w:ascii="Calibri" w:cs="Calibri" w:eastAsia="Calibri" w:hAnsi="Calibri"/>
          <w:sz w:val="22"/>
          <w:szCs w:val="22"/>
        </w:rPr>
        <w:t xml:space="preserve">Integration test against a test Oracle schema: run syncNewBills() twice in a row with an unchanged bill set and assert no duplicate DEPOSIT_LOG rows / no duplicate RECONCILE transactions.</w:t>
      </w:r>
    </w:p>
    <w:p>
      <w:pPr>
        <w:pStyle w:val="ListParagraph"/>
        <w:numPr>
          <w:ilvl w:val="0"/>
          <w:numId w:val="2"/>
        </w:numPr>
        <w:spacing w:after="80"/>
      </w:pPr>
      <w:r>
        <w:rPr>
          <w:rFonts w:ascii="Calibri" w:cs="Calibri" w:eastAsia="Calibri" w:hAnsi="Calibri"/>
          <w:sz w:val="22"/>
          <w:szCs w:val="22"/>
        </w:rPr>
        <w:t xml:space="preserve">Failure-injection test: Oracle transport forced unavailable during a Block push — assert Postgres commit still succeeds and the retry queue picks it up on the next tick.</w:t>
      </w:r>
    </w:p>
    <w:p>
      <w:pPr>
        <w:pStyle w:val="Heading2"/>
        <w:spacing w:after="120" w:before="240"/>
      </w:pPr>
      <w:r>
        <w:t xml:space="preserve">Step 7 — Rollout</w:t>
      </w:r>
    </w:p>
    <w:p>
      <w:pPr>
        <w:pStyle w:val="ListParagraph"/>
        <w:numPr>
          <w:ilvl w:val="0"/>
          <w:numId w:val="2"/>
        </w:numPr>
        <w:spacing w:after="80"/>
      </w:pPr>
      <w:r>
        <w:rPr>
          <w:rFonts w:ascii="Calibri" w:cs="Calibri" w:eastAsia="Calibri" w:hAnsi="Calibri"/>
          <w:sz w:val="22"/>
          <w:szCs w:val="22"/>
        </w:rPr>
        <w:t xml:space="preserve">Ship behind a feature flag / license check consistent with the existing LOYALTY module gate in his-sync.scheduler.ts, so it can be enabled per tenant once the Oracle-side confirmation from Step 0 is validated against that tenant's HIS version.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2026-07-28T10:21:48.037Z</dcterms:created>
  <dcterms:modified xsi:type="dcterms:W3CDTF">2026-07-28T10:21:48.037Z</dcterms:modified>
</cp:coreProperties>
</file>

<file path=docProps/custom.xml><?xml version="1.0" encoding="utf-8"?>
<Properties xmlns="http://schemas.openxmlformats.org/officeDocument/2006/custom-properties" xmlns:vt="http://schemas.openxmlformats.org/officeDocument/2006/docPropsVTypes"/>
</file>