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Oracle HIS Loyalty Deposit Synchronization</w:t>
      </w:r>
    </w:p>
    <w:p>
      <w:pPr>
        <w:pStyle w:val="Heading2"/>
        <w:spacing w:after="40"/>
      </w:pPr>
      <w:r>
        <w:t xml:space="preserve">Pre-Implementation Architecture Analysis &amp; Design Report — v4 (Implemented, Reviewed)</w:t>
      </w:r>
    </w:p>
    <w:p>
      <w:pPr>
        <w:spacing w:after="160"/>
      </w:pPr>
      <w:r>
        <w:rPr>
          <w:rFonts w:ascii="Calibri" w:cs="Calibri" w:eastAsia="Calibri" w:hAnsi="Calibri"/>
          <w:b w:val="false"/>
          <w:bCs w:val="false"/>
          <w:i/>
          <w:iCs/>
          <w:sz w:val="22"/>
          <w:szCs w:val="22"/>
        </w:rPr>
        <w:t xml:space="preserve">Project: HDSP_HYBRID   |   Module: Loyalty (backend/src/modules/loyalty, backend/src/modules/his)   |   Date: 28 Jul 2026</w:t>
      </w:r>
    </w:p>
    <w:p>
      <w:pPr>
        <w:spacing w:after="160"/>
      </w:pPr>
      <w:r>
        <w:rPr>
          <w:rFonts w:ascii="Calibri" w:cs="Calibri" w:eastAsia="Calibri" w:hAnsi="Calibri"/>
          <w:b/>
          <w:bCs/>
          <w:i/>
          <w:iCs/>
          <w:sz w:val="22"/>
          <w:szCs w:val="22"/>
        </w:rPr>
        <w:t xml:space="preserve">Status: Design finalized and implemented. See §9 for the file-by-file summary of what shipped.</w:t>
      </w:r>
    </w:p>
    <w:p>
      <w:pPr>
        <w:spacing w:after="160"/>
      </w:pPr>
      <w:r>
        <w:rPr>
          <w:rFonts w:ascii="Calibri" w:cs="Calibri" w:eastAsia="Calibri" w:hAnsi="Calibri"/>
          <w:b w:val="false"/>
          <w:bCs w:val="false"/>
          <w:i/>
          <w:iCs/>
          <w:sz w:val="22"/>
          <w:szCs w:val="22"/>
        </w:rPr>
        <w:t xml:space="preserve">Revision note (v1 → v2): v1 treated the Block/UnBlock lifecycle question as an open item and proposed an insert-and-invalidate fallback alongside an update-in-place option. That was confirmed with the HIS owner: Oracle HIS fully owns the DEPOSIT_LOG lifecycle end-to-end. v2 replaced the insert/reconciliation design with a single-statement UPDATE and removed every Postgres schema addition and read-path component that existed only to support the discarded insert/reconcile design.</w:t>
      </w:r>
    </w:p>
    <w:p>
      <w:pPr>
        <w:spacing w:after="160"/>
      </w:pPr>
      <w:r>
        <w:rPr>
          <w:rFonts w:ascii="Calibri" w:cs="Calibri" w:eastAsia="Calibri" w:hAnsi="Calibri"/>
          <w:b/>
          <w:bCs/>
          <w:i/>
          <w:iCs/>
          <w:sz w:val="22"/>
          <w:szCs w:val="22"/>
        </w:rPr>
        <w:t xml:space="preserve">Revision note (v2 → v3): three refinements were applied after review — (1) the UPDATE is now issued directly, without a preceding SELECT, since the DEPOSIT_LOG_ID was never actually needed; (2) "post-commit" is now an explicit, enforced ordering rule rather than a general convention reference; (3) the Oracle HIS uniqueness invariant this design depends on is now stated explicitly. The retry-queue recommendation from v2's implementation plan was also dropped in favor of "log and let the next recalculation retry naturally," since this write is a derived value, not a financial record. §5, §7, and §8 are updated accordingly.</w:t>
      </w:r>
    </w:p>
    <w:p>
      <w:pPr>
        <w:pStyle w:val="Heading1"/>
        <w:spacing w:after="160" w:before="320"/>
      </w:pPr>
      <w:r>
        <w:t xml:space="preserve">1. Existing Loyalty Architecture</w:t>
      </w:r>
    </w:p>
    <w:p>
      <w:pPr>
        <w:spacing w:after="160"/>
      </w:pPr>
      <w:r>
        <w:rPr>
          <w:rFonts w:ascii="Calibri" w:cs="Calibri" w:eastAsia="Calibri" w:hAnsi="Calibri"/>
          <w:b w:val="false"/>
          <w:bCs w:val="false"/>
          <w:i w:val="false"/>
          <w:iCs w:val="false"/>
          <w:sz w:val="22"/>
          <w:szCs w:val="22"/>
        </w:rPr>
        <w:t xml:space="preserve">The Loyalty module is a self-contained NestJS module at backend/src/modules/loyalty/, paired with an HIS/Oracle bridge module at backend/src/modules/his/. Postgres is the system of record for all loyalty state; Oracle only ever receives a best-effort, denormalized mirror of that state. No loyalty logic exists in connector/ or connector-manager/ — those packages carry only generic Oracle transport plumbing.</w:t>
      </w:r>
    </w:p>
    <w:p>
      <w:pPr>
        <w:pStyle w:val="Heading2"/>
        <w:spacing w:after="120" w:before="240"/>
      </w:pPr>
      <w:r>
        <w:t xml:space="preserve">1.1 Module layout</w:t>
      </w:r>
    </w:p>
    <w:p>
      <w:pPr>
        <w:spacing w:after="80"/>
      </w:pPr>
      <w:r>
        <w:rPr>
          <w:rFonts w:ascii="Consolas" w:cs="Consolas" w:eastAsia="Consolas" w:hAnsi="Consolas"/>
          <w:color w:val="1155CC"/>
          <w:sz w:val="20"/>
          <w:szCs w:val="20"/>
        </w:rPr>
        <w:t xml:space="preserve">backend/src/modules/loyalty/</w:t>
      </w:r>
    </w:p>
    <w:p>
      <w:pPr>
        <w:pStyle w:val="ListParagraph"/>
        <w:numPr>
          <w:ilvl w:val="0"/>
          <w:numId w:val="2"/>
        </w:numPr>
        <w:spacing w:after="80"/>
      </w:pPr>
      <w:r>
        <w:rPr>
          <w:rFonts w:ascii="Calibri" w:cs="Calibri" w:eastAsia="Calibri" w:hAnsi="Calibri"/>
          <w:sz w:val="22"/>
          <w:szCs w:val="22"/>
        </w:rPr>
        <w:t xml:space="preserve">loyalty.module.ts — NestJS wiring</w:t>
      </w:r>
    </w:p>
    <w:p>
      <w:pPr>
        <w:pStyle w:val="ListParagraph"/>
        <w:numPr>
          <w:ilvl w:val="0"/>
          <w:numId w:val="2"/>
        </w:numPr>
        <w:spacing w:after="80"/>
      </w:pPr>
      <w:r>
        <w:rPr>
          <w:rFonts w:ascii="Calibri" w:cs="Calibri" w:eastAsia="Calibri" w:hAnsi="Calibri"/>
          <w:sz w:val="22"/>
          <w:szCs w:val="22"/>
        </w:rPr>
        <w:t xml:space="preserve">loyalty.controller.ts — REST API (enroll, earn, redeem, card-config)</w:t>
      </w:r>
    </w:p>
    <w:p>
      <w:pPr>
        <w:pStyle w:val="ListParagraph"/>
        <w:numPr>
          <w:ilvl w:val="0"/>
          <w:numId w:val="2"/>
        </w:numPr>
        <w:spacing w:after="80"/>
      </w:pPr>
      <w:r>
        <w:rPr>
          <w:rFonts w:ascii="Calibri" w:cs="Calibri" w:eastAsia="Calibri" w:hAnsi="Calibri"/>
          <w:sz w:val="22"/>
          <w:szCs w:val="22"/>
        </w:rPr>
        <w:t xml:space="preserve">loyalty.processor.ts — BullMQ consumer for async earn-from-bill jobs</w:t>
      </w:r>
    </w:p>
    <w:p>
      <w:pPr>
        <w:pStyle w:val="ListParagraph"/>
        <w:numPr>
          <w:ilvl w:val="0"/>
          <w:numId w:val="2"/>
        </w:numPr>
        <w:spacing w:after="80"/>
      </w:pPr>
      <w:r>
        <w:rPr>
          <w:rFonts w:ascii="Calibri" w:cs="Calibri" w:eastAsia="Calibri" w:hAnsi="Calibri"/>
          <w:sz w:val="22"/>
          <w:szCs w:val="22"/>
        </w:rPr>
        <w:t xml:space="preserve">entities/ — loyalty-account, loyalty-transaction, card-category, campaign, reward-catalog, reward-redemption</w:t>
      </w:r>
    </w:p>
    <w:p>
      <w:pPr>
        <w:pStyle w:val="ListParagraph"/>
        <w:numPr>
          <w:ilvl w:val="0"/>
          <w:numId w:val="2"/>
        </w:numPr>
        <w:spacing w:after="80"/>
      </w:pPr>
      <w:r>
        <w:rPr>
          <w:rFonts w:ascii="Calibri" w:cs="Calibri" w:eastAsia="Calibri" w:hAnsi="Calibri"/>
          <w:sz w:val="22"/>
          <w:szCs w:val="22"/>
        </w:rPr>
        <w:t xml:space="preserve">services/enrollment.service.ts — enroll / auto-enroll / account lookup</w:t>
      </w:r>
    </w:p>
    <w:p>
      <w:pPr>
        <w:pStyle w:val="ListParagraph"/>
        <w:numPr>
          <w:ilvl w:val="0"/>
          <w:numId w:val="2"/>
        </w:numPr>
        <w:spacing w:after="80"/>
      </w:pPr>
      <w:r>
        <w:rPr>
          <w:rFonts w:ascii="Calibri" w:cs="Calibri" w:eastAsia="Calibri" w:hAnsi="Calibri"/>
          <w:sz w:val="22"/>
          <w:szCs w:val="22"/>
        </w:rPr>
        <w:t xml:space="preserve">services/transaction.service.ts — earn / adjust / reverse / manual-adjust (the ledger writer)</w:t>
      </w:r>
    </w:p>
    <w:p>
      <w:pPr>
        <w:pStyle w:val="ListParagraph"/>
        <w:numPr>
          <w:ilvl w:val="0"/>
          <w:numId w:val="2"/>
        </w:numPr>
        <w:spacing w:after="80"/>
      </w:pPr>
      <w:r>
        <w:rPr>
          <w:rFonts w:ascii="Calibri" w:cs="Calibri" w:eastAsia="Calibri" w:hAnsi="Calibri"/>
          <w:sz w:val="22"/>
          <w:szCs w:val="22"/>
        </w:rPr>
        <w:t xml:space="preserve">services/redemption.service.ts — reward redemption</w:t>
      </w:r>
    </w:p>
    <w:p>
      <w:pPr>
        <w:pStyle w:val="ListParagraph"/>
        <w:numPr>
          <w:ilvl w:val="0"/>
          <w:numId w:val="2"/>
        </w:numPr>
        <w:spacing w:after="80"/>
      </w:pPr>
      <w:r>
        <w:rPr>
          <w:rFonts w:ascii="Calibri" w:cs="Calibri" w:eastAsia="Calibri" w:hAnsi="Calibri"/>
          <w:sz w:val="22"/>
          <w:szCs w:val="22"/>
        </w:rPr>
        <w:t xml:space="preserve">services/point-engine.service.ts — pure calculation: points, discount %, redeemable amount, tier</w:t>
      </w:r>
    </w:p>
    <w:p>
      <w:pPr>
        <w:pStyle w:val="ListParagraph"/>
        <w:numPr>
          <w:ilvl w:val="0"/>
          <w:numId w:val="2"/>
        </w:numPr>
        <w:spacing w:after="80"/>
      </w:pPr>
      <w:r>
        <w:rPr>
          <w:rFonts w:ascii="Calibri" w:cs="Calibri" w:eastAsia="Calibri" w:hAnsi="Calibri"/>
          <w:sz w:val="22"/>
          <w:szCs w:val="22"/>
        </w:rPr>
        <w:t xml:space="preserve">services/card-config.service.ts — tier configuration CRUD</w:t>
      </w:r>
    </w:p>
    <w:p>
      <w:pPr>
        <w:pStyle w:val="ListParagraph"/>
        <w:numPr>
          <w:ilvl w:val="0"/>
          <w:numId w:val="2"/>
        </w:numPr>
        <w:spacing w:after="80"/>
      </w:pPr>
      <w:r>
        <w:rPr>
          <w:rFonts w:ascii="Calibri" w:cs="Calibri" w:eastAsia="Calibri" w:hAnsi="Calibri"/>
          <w:sz w:val="22"/>
          <w:szCs w:val="22"/>
        </w:rPr>
        <w:t xml:space="preserve">campaign/ — campaign.controller/service/scheduler (birthday &amp; flat-bonus campaigns)</w:t>
      </w:r>
    </w:p>
    <w:p>
      <w:pPr>
        <w:spacing w:after="80"/>
      </w:pPr>
      <w:r>
        <w:rPr>
          <w:rFonts w:ascii="Consolas" w:cs="Consolas" w:eastAsia="Consolas" w:hAnsi="Consolas"/>
          <w:color w:val="1155CC"/>
          <w:sz w:val="20"/>
          <w:szCs w:val="20"/>
        </w:rPr>
        <w:t xml:space="preserve">backend/src/modules/his/</w:t>
      </w:r>
    </w:p>
    <w:p>
      <w:pPr>
        <w:pStyle w:val="ListParagraph"/>
        <w:numPr>
          <w:ilvl w:val="0"/>
          <w:numId w:val="2"/>
        </w:numPr>
        <w:spacing w:after="80"/>
      </w:pPr>
      <w:r>
        <w:rPr>
          <w:rFonts w:ascii="Calibri" w:cs="Calibri" w:eastAsia="Calibri" w:hAnsi="Calibri"/>
          <w:sz w:val="22"/>
          <w:szCs w:val="22"/>
        </w:rPr>
        <w:t xml:space="preserve">billing/billing.service.ts — reads Oracle bill data (BILL_MASTER / INS_MASTER_INVOICE)</w:t>
      </w:r>
    </w:p>
    <w:p>
      <w:pPr>
        <w:pStyle w:val="ListParagraph"/>
        <w:numPr>
          <w:ilvl w:val="0"/>
          <w:numId w:val="2"/>
        </w:numPr>
        <w:spacing w:after="80"/>
      </w:pPr>
      <w:r>
        <w:rPr>
          <w:rFonts w:ascii="Calibri" w:cs="Calibri" w:eastAsia="Calibri" w:hAnsi="Calibri"/>
          <w:sz w:val="22"/>
          <w:szCs w:val="22"/>
        </w:rPr>
        <w:t xml:space="preserve">billing/his-loyalty-bridge.service.ts — writes the Oracle table LOYALTY_PATIENT_SUMMARY</w:t>
      </w:r>
    </w:p>
    <w:p>
      <w:pPr>
        <w:pStyle w:val="ListParagraph"/>
        <w:numPr>
          <w:ilvl w:val="0"/>
          <w:numId w:val="2"/>
        </w:numPr>
        <w:spacing w:after="80"/>
      </w:pPr>
      <w:r>
        <w:rPr>
          <w:rFonts w:ascii="Calibri" w:cs="Calibri" w:eastAsia="Calibri" w:hAnsi="Calibri"/>
          <w:sz w:val="22"/>
          <w:szCs w:val="22"/>
        </w:rPr>
        <w:t xml:space="preserve">sync/his-sync.service.ts — core polling sync: Oracle bills → Postgres loyalty ledger</w:t>
      </w:r>
    </w:p>
    <w:p>
      <w:pPr>
        <w:pStyle w:val="ListParagraph"/>
        <w:numPr>
          <w:ilvl w:val="0"/>
          <w:numId w:val="2"/>
        </w:numPr>
        <w:spacing w:after="80"/>
      </w:pPr>
      <w:r>
        <w:rPr>
          <w:rFonts w:ascii="Calibri" w:cs="Calibri" w:eastAsia="Calibri" w:hAnsi="Calibri"/>
          <w:sz w:val="22"/>
          <w:szCs w:val="22"/>
        </w:rPr>
        <w:t xml:space="preserve">sync/his-sync.scheduler.ts — self-throttling setInterval poller, license-gated</w:t>
      </w:r>
    </w:p>
    <w:p>
      <w:pPr>
        <w:pStyle w:val="ListParagraph"/>
        <w:numPr>
          <w:ilvl w:val="0"/>
          <w:numId w:val="2"/>
        </w:numPr>
        <w:spacing w:after="80"/>
      </w:pPr>
      <w:r>
        <w:rPr>
          <w:rFonts w:ascii="Calibri" w:cs="Calibri" w:eastAsia="Calibri" w:hAnsi="Calibri"/>
          <w:sz w:val="22"/>
          <w:szCs w:val="22"/>
        </w:rPr>
        <w:t xml:space="preserve">sync/his-sync.controller.ts — admin endpoints: cursor reset, backfill, diagnostics</w:t>
      </w:r>
    </w:p>
    <w:p>
      <w:pPr>
        <w:pStyle w:val="ListParagraph"/>
        <w:numPr>
          <w:ilvl w:val="0"/>
          <w:numId w:val="2"/>
        </w:numPr>
        <w:spacing w:after="80"/>
      </w:pPr>
      <w:r>
        <w:rPr>
          <w:rFonts w:ascii="Calibri" w:cs="Calibri" w:eastAsia="Calibri" w:hAnsi="Calibri"/>
          <w:sz w:val="22"/>
          <w:szCs w:val="22"/>
        </w:rPr>
        <w:t xml:space="preserve">oracle-pool.service.ts — OraclePoolManager, one Oracle pool per tenant</w:t>
      </w:r>
    </w:p>
    <w:p>
      <w:pPr>
        <w:pStyle w:val="ListParagraph"/>
        <w:numPr>
          <w:ilvl w:val="0"/>
          <w:numId w:val="2"/>
        </w:numPr>
        <w:spacing w:after="80"/>
      </w:pPr>
      <w:r>
        <w:rPr>
          <w:rFonts w:ascii="Calibri" w:cs="Calibri" w:eastAsia="Calibri" w:hAnsi="Calibri"/>
          <w:sz w:val="22"/>
          <w:szCs w:val="22"/>
        </w:rPr>
        <w:t xml:space="preserve">direct-oracle.transport.ts / cloud-oracle.transport.ts — IOracleTransport implementations</w:t>
      </w:r>
    </w:p>
    <w:p>
      <w:pPr>
        <w:pStyle w:val="ListParagraph"/>
        <w:numPr>
          <w:ilvl w:val="0"/>
          <w:numId w:val="2"/>
        </w:numPr>
        <w:spacing w:after="80"/>
      </w:pPr>
      <w:r>
        <w:rPr>
          <w:rFonts w:ascii="Calibri" w:cs="Calibri" w:eastAsia="Calibri" w:hAnsi="Calibri"/>
          <w:sz w:val="22"/>
          <w:szCs w:val="22"/>
        </w:rPr>
        <w:t xml:space="preserve">config/his-config.service.ts — per-tenant dynamic column/table mapping</w:t>
      </w:r>
    </w:p>
    <w:p>
      <w:pPr>
        <w:pStyle w:val="ListParagraph"/>
        <w:numPr>
          <w:ilvl w:val="0"/>
          <w:numId w:val="2"/>
        </w:numPr>
        <w:spacing w:after="80"/>
      </w:pPr>
      <w:r>
        <w:rPr>
          <w:rFonts w:ascii="Calibri" w:cs="Calibri" w:eastAsia="Calibri" w:hAnsi="Calibri"/>
          <w:sz w:val="22"/>
          <w:szCs w:val="22"/>
        </w:rPr>
        <w:t xml:space="preserve">patient/patient.service.ts, visit/visit.service.ts — Oracle PAT_MASTER / visit reads</w:t>
      </w:r>
    </w:p>
    <w:p>
      <w:pPr>
        <w:pStyle w:val="Heading2"/>
        <w:spacing w:after="120" w:before="240"/>
      </w:pPr>
      <w:r>
        <w:t xml:space="preserve">1.2 Calculation logic</w:t>
      </w:r>
    </w:p>
    <w:p>
      <w:pPr>
        <w:spacing w:after="160"/>
      </w:pPr>
      <w:r>
        <w:rPr>
          <w:rFonts w:ascii="Calibri" w:cs="Calibri" w:eastAsia="Calibri" w:hAnsi="Calibri"/>
          <w:b w:val="false"/>
          <w:bCs w:val="false"/>
          <w:i w:val="false"/>
          <w:iCs w:val="false"/>
          <w:sz w:val="22"/>
          <w:szCs w:val="22"/>
        </w:rPr>
        <w:t xml:space="preserve">All calculation is centralized in PointEngineService (backend/src/modules/loyalty/services/point-engine.service.ts):</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calculateEarnPoints(billAmount, category, dobMonth?)</w:t>
      </w:r>
      <w:r>
        <w:br/>
        <w:t xml:space="preserve"/>
      </w:r>
      <w:r>
        <w:rPr>
          <w:rFonts w:ascii="Consolas" w:cs="Consolas" w:eastAsia="Consolas" w:hAnsi="Consolas"/>
          <w:sz w:val="18"/>
          <w:szCs w:val="18"/>
        </w:rPr>
        <w:t xml:space="preserve">  basePoints = floor(billAmount / 100) * category.earnRatePer100</w:t>
      </w:r>
      <w:r>
        <w:br/>
        <w:t xml:space="preserve"/>
      </w:r>
      <w:r>
        <w:rPr>
          <w:rFonts w:ascii="Consolas" w:cs="Consolas" w:eastAsia="Consolas" w:hAnsi="Consolas"/>
          <w:sz w:val="18"/>
          <w:szCs w:val="18"/>
        </w:rPr>
        <w:t xml:space="preserve">  campaign lookup: active, date-in-range, tier-eligible, birthday-month match</w:t>
      </w:r>
      <w:r>
        <w:br/>
        <w:t xml:space="preserve"/>
      </w:r>
      <w:r>
        <w:rPr>
          <w:rFonts w:ascii="Consolas" w:cs="Consolas" w:eastAsia="Consolas" w:hAnsi="Consolas"/>
          <w:sz w:val="18"/>
          <w:szCs w:val="18"/>
        </w:rPr>
        <w:t xml:space="preserve">  totalPoints = floor(basePoints * bestCampaignMultiplier) + sum(campaignBonusFlat)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computeDiscount(availablePoints, category)   ← THE REDEEMABLE-AMOUNT CALCULATION</w:t>
      </w:r>
      <w:r>
        <w:br/>
        <w:t xml:space="preserve"/>
      </w:r>
      <w:r>
        <w:rPr>
          <w:rFonts w:ascii="Consolas" w:cs="Consolas" w:eastAsia="Consolas" w:hAnsi="Consolas"/>
          <w:sz w:val="18"/>
          <w:szCs w:val="18"/>
        </w:rPr>
        <w:t xml:space="preserve">  cardValue (Rs.) = (availablePoints / 100) * category.pointValuePer100</w:t>
      </w:r>
      <w:r>
        <w:br/>
        <w:t xml:space="preserve"/>
      </w:r>
      <w:r>
        <w:rPr>
          <w:rFonts w:ascii="Consolas" w:cs="Consolas" w:eastAsia="Consolas" w:hAnsi="Consolas"/>
          <w:sz w:val="18"/>
          <w:szCs w:val="18"/>
        </w:rPr>
        <w:t xml:space="preserve">  discountPct = first matching bracket in category.discountThresholds (desc. sorted)</w:t>
      </w:r>
      <w:r>
        <w:br/>
        <w:t xml:space="preserve"/>
      </w:r>
      <w:r>
        <w:rPr>
          <w:rFonts w:ascii="Consolas" w:cs="Consolas" w:eastAsia="Consolas" w:hAnsi="Consolas"/>
          <w:sz w:val="18"/>
          <w:szCs w:val="18"/>
        </w:rPr>
        <w:t xml:space="preserve">  returns { discountPct, cardValue, thresholdLabel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determineTier(totalSpend, categories)</w:t>
      </w:r>
      <w:r>
        <w:br/>
        <w:t xml:space="preserve"/>
      </w:r>
      <w:r>
        <w:rPr>
          <w:rFonts w:ascii="Consolas" w:cs="Consolas" w:eastAsia="Consolas" w:hAnsi="Consolas"/>
          <w:sz w:val="18"/>
          <w:szCs w:val="18"/>
        </w:rPr>
        <w:t xml:space="preserve">  first category (sorted by minSpend desc) whose minSpend &lt;= totalSpend</w:t>
      </w:r>
    </w:p>
    <w:p>
      <w:pPr>
        <w:spacing w:after="160"/>
      </w:pPr>
      <w:r>
        <w:rPr>
          <w:rFonts w:ascii="Calibri" w:cs="Calibri" w:eastAsia="Calibri" w:hAnsi="Calibri"/>
          <w:b w:val="false"/>
          <w:bCs w:val="false"/>
          <w:i w:val="false"/>
          <w:iCs w:val="false"/>
          <w:sz w:val="22"/>
          <w:szCs w:val="22"/>
        </w:rPr>
        <w:t xml:space="preserve">The value the task calls the “Redeemable Amount” is PointEngineService.computeDiscount().cardValue. It is derived on demand from availablePoints — it is not persisted as an independent column, so every call site that needs to push it to Oracle recomputes it fresh from the current loyalty_accounts.available_points value (transaction.service.ts, redemption.service.ts, enrollment.service.ts, his-sync.service.ts).</w:t>
      </w:r>
    </w:p>
    <w:p>
      <w:pPr>
        <w:pStyle w:val="Heading2"/>
        <w:spacing w:after="120" w:before="240"/>
      </w:pPr>
      <w:r>
        <w:t xml:space="preserve">1.3 Storage (Postgres, source of truth)</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54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Entity 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Purpose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loyalty_accounts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entities/loyalty-account.entity.ts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One row/patient. available_points, total_lifetime_spend, total_points_earned/redeemed/expired, card_number, card_category_id, status, branch_id, tenant_id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loyalty_transactions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Append-only ledger. transaction_type (EARN/REDEEM/REVERSE/EXPIRE/ADJUST), reference_type/reference_id, points_delta, balance_before/after. Partial unique index uq_earn_per_bill enforces one EARN per bill.</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card_categories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entities/card-category.entity.ts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Tier config: earn_rate_per_100, point_value_per_100, discount_thresholds (JSONB)</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campaigns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entities/campaign.entity.ts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Bonus campaigns: earn_multiplier, bonus_points_flat, eligible_card_codes[]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reward_catalog / reward_redemptions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reward-catalog.entity.ts / reward-redemption.entity.ts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Catalog redemption workflow (separate from the Oracle bill-discount redemption path)</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Migrations: 1700000005000-CreateLoyaltySchema.ts (base schema — note the non-“000” sibling files are superseded stubs), 1700000007000-AddPhoneToLoyaltyAccounts.ts, 1783760000000-AddTenantIdToLoyaltyTables.ts.</w:t>
      </w:r>
    </w:p>
    <w:p>
      <w:pPr>
        <w:pStyle w:val="Heading2"/>
        <w:spacing w:after="120" w:before="240"/>
      </w:pPr>
      <w:r>
        <w:t xml:space="preserve">1.4 Oracle transport layer</w:t>
      </w:r>
    </w:p>
    <w:p>
      <w:pPr>
        <w:spacing w:after="160"/>
      </w:pPr>
      <w:r>
        <w:rPr>
          <w:rFonts w:ascii="Calibri" w:cs="Calibri" w:eastAsia="Calibri" w:hAnsi="Calibri"/>
          <w:b w:val="false"/>
          <w:bCs w:val="false"/>
          <w:i w:val="false"/>
          <w:iCs w:val="false"/>
          <w:sz w:val="22"/>
          <w:szCs w:val="22"/>
        </w:rPr>
        <w:t xml:space="preserve">Every Oracle-touching service depends only on the IOracleTransport interface (DI token ORACLE_TRANSPORT), never on a raw pool:</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interface IOracleTransport {</w:t>
      </w:r>
      <w:r>
        <w:br/>
        <w:t xml:space="preserve"/>
      </w:r>
      <w:r>
        <w:rPr>
          <w:rFonts w:ascii="Consolas" w:cs="Consolas" w:eastAsia="Consolas" w:hAnsi="Consolas"/>
          <w:sz w:val="18"/>
          <w:szCs w:val="18"/>
        </w:rPr>
        <w:t xml:space="preserve">  readonly isAvailable: boolean;</w:t>
      </w:r>
      <w:r>
        <w:br/>
        <w:t xml:space="preserve"/>
      </w:r>
      <w:r>
        <w:rPr>
          <w:rFonts w:ascii="Consolas" w:cs="Consolas" w:eastAsia="Consolas" w:hAnsi="Consolas"/>
          <w:sz w:val="18"/>
          <w:szCs w:val="18"/>
        </w:rPr>
        <w:t xml:space="preserve">  query&lt;T&gt;(sql, binds?, opts?): Promise&lt;T[]&gt;;</w:t>
      </w:r>
      <w:r>
        <w:br/>
        <w:t xml:space="preserve"/>
      </w:r>
      <w:r>
        <w:rPr>
          <w:rFonts w:ascii="Consolas" w:cs="Consolas" w:eastAsia="Consolas" w:hAnsi="Consolas"/>
          <w:sz w:val="18"/>
          <w:szCs w:val="18"/>
        </w:rPr>
        <w:t xml:space="preserve">  queryOne&lt;T&gt;(sql, binds?, opts?): Promise&lt;T | null&gt;;</w:t>
      </w:r>
      <w:r>
        <w:br/>
        <w:t xml:space="preserve"/>
      </w:r>
      <w:r>
        <w:rPr>
          <w:rFonts w:ascii="Consolas" w:cs="Consolas" w:eastAsia="Consolas" w:hAnsi="Consolas"/>
          <w:sz w:val="18"/>
          <w:szCs w:val="18"/>
        </w:rPr>
        <w:t xml:space="preserve">  execute(sql, binds?, opts?): Promise&lt;number&gt;;</w:t>
      </w:r>
      <w:r>
        <w:br/>
        <w:t xml:space="preserve"/>
      </w:r>
      <w:r>
        <w:rPr>
          <w:rFonts w:ascii="Consolas" w:cs="Consolas" w:eastAsia="Consolas" w:hAnsi="Consolas"/>
          <w:sz w:val="18"/>
          <w:szCs w:val="18"/>
        </w:rPr>
        <w:t xml:space="preserve">  reconfigure(creds, testOnly?): Promise&lt;{ ok, message }&gt;;</w:t>
      </w:r>
      <w:r>
        <w:br/>
        <w:t xml:space="preserve"/>
      </w:r>
      <w:r>
        <w:rPr>
          <w:rFonts w:ascii="Consolas" w:cs="Consolas" w:eastAsia="Consolas" w:hAnsi="Consolas"/>
          <w:sz w:val="18"/>
          <w:szCs w:val="18"/>
        </w:rPr>
        <w:t xml:space="preserve">}</w:t>
      </w:r>
    </w:p>
    <w:p>
      <w:pPr>
        <w:pStyle w:val="ListParagraph"/>
        <w:numPr>
          <w:ilvl w:val="0"/>
          <w:numId w:val="2"/>
        </w:numPr>
        <w:spacing w:after="80"/>
      </w:pPr>
      <w:r>
        <w:rPr>
          <w:rFonts w:ascii="Calibri" w:cs="Calibri" w:eastAsia="Calibri" w:hAnsi="Calibri"/>
          <w:sz w:val="22"/>
          <w:szCs w:val="22"/>
        </w:rPr>
        <w:t xml:space="preserve">DirectOracleTransport — self-hosted default; delegates to OraclePoolManager → OracleClient (packages/oracle-client).</w:t>
      </w:r>
    </w:p>
    <w:p>
      <w:pPr>
        <w:pStyle w:val="ListParagraph"/>
        <w:numPr>
          <w:ilvl w:val="0"/>
          <w:numId w:val="2"/>
        </w:numPr>
        <w:spacing w:after="80"/>
      </w:pPr>
      <w:r>
        <w:rPr>
          <w:rFonts w:ascii="Calibri" w:cs="Calibri" w:eastAsia="Calibri" w:hAnsi="Calibri"/>
          <w:sz w:val="22"/>
          <w:szCs w:val="22"/>
        </w:rPr>
        <w:t xml:space="preserve">CloudOracleTransport — cloud mode; routes SQL through the Connector via Redis pub/sub, allow-listed sqlTemplateId registry, own 15s circuit breaker.</w:t>
      </w:r>
    </w:p>
    <w:p>
      <w:pPr>
        <w:pStyle w:val="ListParagraph"/>
        <w:numPr>
          <w:ilvl w:val="0"/>
          <w:numId w:val="2"/>
        </w:numPr>
        <w:spacing w:after="80"/>
      </w:pPr>
      <w:r>
        <w:rPr>
          <w:rFonts w:ascii="Calibri" w:cs="Calibri" w:eastAsia="Calibri" w:hAnsi="Calibri"/>
          <w:sz w:val="22"/>
          <w:szCs w:val="22"/>
        </w:rPr>
        <w:t xml:space="preserve">OracleClient (packages/oracle-client/src/oracle-client.ts) — pool wrapper; connection-per-call; execute() uses autoCommit:true; 15s circuit-breaker cooldown on connect failure (throws HisUnavailableError).</w:t>
      </w:r>
    </w:p>
    <w:p>
      <w:pPr>
        <w:pStyle w:val="Heading1"/>
        <w:spacing w:after="160" w:before="320"/>
      </w:pPr>
      <w:r>
        <w:t xml:space="preserve">2. Oracle Billing Flow — How Deposit “Block” Actually Behaves</w:t>
      </w:r>
    </w:p>
    <w:p>
      <w:pPr>
        <w:spacing w:after="160"/>
      </w:pPr>
      <w:r>
        <w:rPr>
          <w:rFonts w:ascii="Calibri" w:cs="Calibri" w:eastAsia="Calibri" w:hAnsi="Calibri"/>
          <w:b w:val="false"/>
          <w:bCs w:val="false"/>
          <w:i w:val="false"/>
          <w:iCs w:val="false"/>
          <w:sz w:val="22"/>
          <w:szCs w:val="22"/>
        </w:rPr>
        <w:t xml:space="preserve">Confirmed with the HIS owner: Oracle HIS fully owns the DEPOSIT_LOG lifecycle. HDSP is a consumer of the balance, never a manager of the row lifecycle.</w:t>
      </w:r>
    </w:p>
    <w:p>
      <w:pPr>
        <w:pStyle w:val="Heading2"/>
        <w:spacing w:after="120" w:before="240"/>
      </w:pPr>
      <w:r>
        <w:t xml:space="preserve">2.1 Existing Oracle HIS behavior (authoritative, unchanged by this work)</w:t>
      </w:r>
    </w:p>
    <w:p>
      <w:pPr>
        <w:pStyle w:val="ListParagraph"/>
        <w:numPr>
          <w:ilvl w:val="0"/>
          <w:numId w:val="2"/>
        </w:numPr>
        <w:spacing w:after="80"/>
      </w:pPr>
      <w:r>
        <w:rPr>
          <w:rFonts w:ascii="Calibri" w:cs="Calibri" w:eastAsia="Calibri" w:hAnsi="Calibri"/>
          <w:sz w:val="22"/>
          <w:szCs w:val="22"/>
        </w:rPr>
        <w:t xml:space="preserve">When loyalty is first enabled for a patient, HIS itself creates the initial DEPOSIT_TYPE=13, DEPOSIT_STATUS='Block' row.</w:t>
      </w:r>
    </w:p>
    <w:p>
      <w:pPr>
        <w:pStyle w:val="ListParagraph"/>
        <w:numPr>
          <w:ilvl w:val="0"/>
          <w:numId w:val="2"/>
        </w:numPr>
        <w:spacing w:after="80"/>
      </w:pPr>
      <w:r>
        <w:rPr>
          <w:rFonts w:ascii="Calibri" w:cs="Calibri" w:eastAsia="Calibri" w:hAnsi="Calibri"/>
          <w:sz w:val="22"/>
          <w:szCs w:val="22"/>
        </w:rPr>
        <w:t xml:space="preserve">Whenever billing staff redeem loyalty on the Oracle billing screen: HIS changes the previous Block row's status to UnBlock, then HIS inserts a new DEPOSIT_TYPE=13, DEPOSIT_STATUS='Block' row containing the remaining balance.</w:t>
      </w:r>
    </w:p>
    <w:p>
      <w:pPr>
        <w:pStyle w:val="ListParagraph"/>
        <w:numPr>
          <w:ilvl w:val="0"/>
          <w:numId w:val="2"/>
        </w:numPr>
        <w:spacing w:after="80"/>
      </w:pPr>
      <w:r>
        <w:rPr>
          <w:rFonts w:ascii="Calibri" w:cs="Calibri" w:eastAsia="Calibri" w:hAnsi="Calibri"/>
          <w:sz w:val="22"/>
          <w:szCs w:val="22"/>
        </w:rPr>
        <w:t xml:space="preserve">This Block → UnBlock → new Block lifecycle is already fully implemented inside Oracle HIS and must remain untouched by HDSP. The 4-row DEPOSIT_LOG sample in the screenshots (two DEPOSIT_TYPE=13 rows, Block/UnBlock, plus two DEPOSIT_TYPE=1 rows) is Oracle's own lifecycle history, not something HDSP needs to reproduce.</w:t>
      </w:r>
    </w:p>
    <w:p>
      <w:pPr>
        <w:pStyle w:val="Heading2"/>
        <w:spacing w:after="120" w:before="240"/>
      </w:pPr>
      <w:r>
        <w:t xml:space="preserve">2.2 HDSP's responsibility</w:t>
      </w:r>
    </w:p>
    <w:p>
      <w:pPr>
        <w:spacing w:after="160"/>
      </w:pPr>
      <w:r>
        <w:rPr>
          <w:rFonts w:ascii="Calibri" w:cs="Calibri" w:eastAsia="Calibri" w:hAnsi="Calibri"/>
          <w:b w:val="false"/>
          <w:bCs w:val="false"/>
          <w:i w:val="false"/>
          <w:iCs w:val="false"/>
          <w:sz w:val="22"/>
          <w:szCs w:val="22"/>
        </w:rPr>
        <w:t xml:space="preserve">HDSP's only job is to keep the DEPOSIT_AMOUNT on the currently active Block record in sync with the latest calculated redeemable balance. Concretely, after every loyalty recalculation:</w:t>
      </w:r>
    </w:p>
    <w:p>
      <w:pPr>
        <w:pStyle w:val="ListParagraph"/>
        <w:numPr>
          <w:ilvl w:val="0"/>
          <w:numId w:val="2"/>
        </w:numPr>
        <w:spacing w:after="80"/>
      </w:pPr>
      <w:r>
        <w:rPr>
          <w:rFonts w:ascii="Calibri" w:cs="Calibri" w:eastAsia="Calibri" w:hAnsi="Calibri"/>
          <w:sz w:val="22"/>
          <w:szCs w:val="22"/>
        </w:rPr>
        <w:t xml:space="preserve">Calculate the latest redeemable amount (PointEngineService.computeDiscount().cardValue — unchanged, see §1.2).</w:t>
      </w:r>
    </w:p>
    <w:p>
      <w:pPr>
        <w:pStyle w:val="ListParagraph"/>
        <w:numPr>
          <w:ilvl w:val="0"/>
          <w:numId w:val="2"/>
        </w:numPr>
        <w:spacing w:after="80"/>
      </w:pPr>
      <w:r>
        <w:rPr>
          <w:rFonts w:ascii="Calibri" w:cs="Calibri" w:eastAsia="Calibri" w:hAnsi="Calibri"/>
          <w:sz w:val="22"/>
          <w:szCs w:val="22"/>
        </w:rPr>
        <w:t xml:space="preserve">Locate the active Oracle deposit row for that patient (DEPOSIT_TYPE=13, DEPOSIT_STATUS='Block').</w:t>
      </w:r>
    </w:p>
    <w:p>
      <w:pPr>
        <w:pStyle w:val="ListParagraph"/>
        <w:numPr>
          <w:ilvl w:val="0"/>
          <w:numId w:val="2"/>
        </w:numPr>
        <w:spacing w:after="80"/>
      </w:pPr>
      <w:r>
        <w:rPr>
          <w:rFonts w:ascii="Calibri" w:cs="Calibri" w:eastAsia="Calibri" w:hAnsi="Calibri"/>
          <w:sz w:val="22"/>
          <w:szCs w:val="22"/>
        </w:rPr>
        <w:t xml:space="preserve">UPDATE only the DEPOSIT_AMOUNT column on that row.</w:t>
      </w:r>
    </w:p>
    <w:p>
      <w:pPr>
        <w:spacing w:after="160"/>
      </w:pPr>
      <w:r>
        <w:rPr>
          <w:rFonts w:ascii="Calibri" w:cs="Calibri" w:eastAsia="Calibri" w:hAnsi="Calibri"/>
          <w:b w:val="false"/>
          <w:bCs w:val="false"/>
          <w:i w:val="false"/>
          <w:iCs w:val="false"/>
          <w:sz w:val="22"/>
          <w:szCs w:val="22"/>
        </w:rPr>
        <w:t xml:space="preserve">No INSERTs, no DELETEs, no status transitions, and no handling of UnBlock rows — all of that remains entirely inside Oracle HIS. This removes the need for a synthetic “which row is authoritative” decision, an insert-and-invalidate pattern, or a redemption-detection read path — all of which were proposed in v1 of this report under the (now-corrected) assumption that HDSP shared ownership of the lifecycle.</w:t>
      </w:r>
    </w:p>
    <w:p>
      <w:pPr>
        <w:pStyle w:val="Heading1"/>
        <w:spacing w:after="160" w:before="320"/>
      </w:pPr>
      <w:r>
        <w:t xml:space="preserve">3. Integration Points — Files That Must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Change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backend/src/modules/his/billing/oracle-deposit-log-bridge.service.ts (NEW)</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New service, sibling to his-loyalty-bridge.service.ts, but much smaller: a single method, syncActiveBlockAmount(patientId, redeemableAmount), that finds the active Block row and updates its amount. No insert, no delete, no status-change methods.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backend/src/modules/his/billing/his-loyalty-bridge.service.ts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Unchanged. Continues to own the separate LOYALTY_PATIENT_SUMMARY read-model upsert for the HIS UI; unrelated to DEPOSIT_LOG.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backend/src/modules/loyalty/services/transaction.service.ts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earnFromBill / adjustFromBill / reverseFromBill commit, call the new bridge's syncActiveBlockAmount() with the freshly recomputed computeDiscount().cardValue — same fire-and-forget, post-commit convention already used for pushAccountToOracle().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backend/src/modules/loyalty/services/redemption.service.ts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After createRedemption()/processRedemption() commit (for any redemption HDSP itself initiates, as distinct from HIS-side billing redemption), call syncActiveBlockAmount() with the new balance.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Extend syncNewBills(): after each bill's EARN/ADJUST/REVERSE is committed and the balance recalculated, call syncActiveBlockAmount(). No DEPOSIT_LOG read/polling logic is added — HDSP does not need to detect Oracle-side redemptions from DEPOSIT_LOG at all; the next bill import and recalculation cycle is what keeps the two systems converged. No retry queue for this write (§7/§8) — a failed update is logged and naturally retried by the next recalculation for that patient.</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backend/src/modules/loyalty/entities/loyalty-transaction.entity.ts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change. The transaction_type enum stays as-is (EARN/REDEEM/REVERSE/EXPIRE/ADJUST) — no new RECONCILE type is needed since HDSP never derives a ledger entry from DEPOSIT_LOG.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backend/src/database/migrations/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new migration. See §4.</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backend/src/modules/his/config/his-config.service.ts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config keys for the deposit table/column mapping (deposit.table, deposit.col.*, deposit.type.loyalty=13) mirroring the existing billing.table/billing.col.* pattern, since column names are already known to be tenant-configurable in this codebase.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backend/src/modules/his/his.module.ts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 the new bridge service as a provider; inject IOracleTransport the same way every other Oracle service does.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backend/src/modules/his/sync/his-sync.controller.ts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 one admin diagnostic endpoint, e.g. GET /his/sync/test-deposit-bridge, mirroring the existing test-bridge endpoint, to verify the UPDATE path reaches Oracle.</w:t>
            </w:r>
          </w:p>
        </w:tc>
      </w:tr>
    </w:tbl>
    <w:p>
      <w:pPr>
        <w:pStyle w:val="Heading1"/>
        <w:spacing w:after="160" w:before="320"/>
      </w:pPr>
      <w:r>
        <w:t xml:space="preserve">4. Database Changes (HDSP / Postgres)</w:t>
      </w:r>
    </w:p>
    <w:p>
      <w:pPr>
        <w:spacing w:after="160"/>
      </w:pPr>
      <w:r>
        <w:rPr>
          <w:rFonts w:ascii="Calibri" w:cs="Calibri" w:eastAsia="Calibri" w:hAnsi="Calibri"/>
          <w:b w:val="false"/>
          <w:bCs w:val="false"/>
          <w:i w:val="false"/>
          <w:iCs w:val="false"/>
          <w:sz w:val="22"/>
          <w:szCs w:val="22"/>
        </w:rPr>
        <w:t xml:space="preserve">None. No new tables, no new columns, and no new enum values are required.</w:t>
      </w:r>
    </w:p>
    <w:p>
      <w:pPr>
        <w:spacing w:after="160"/>
      </w:pPr>
      <w:r>
        <w:rPr>
          <w:rFonts w:ascii="Calibri" w:cs="Calibri" w:eastAsia="Calibri" w:hAnsi="Calibri"/>
          <w:b w:val="false"/>
          <w:bCs w:val="false"/>
          <w:i w:val="false"/>
          <w:iCs w:val="false"/>
          <w:sz w:val="22"/>
          <w:szCs w:val="22"/>
        </w:rPr>
        <w:t xml:space="preserve">v1 of this report proposed four new tracking columns on loyalty_accounts (oracle_deposit_log_id, oracle_deposit_synced_amount, oracle_deposit_sync_status, oracle_deposit_synced_at), a new RECONCILE transaction_type, and an external_reference_id column on loyalty_transactions. All of these existed only to support insert-new-row bookkeeping and Oracle-side redemption reconciliation. Since HDSP now only issues a single UPDATE against whatever row Oracle currently has marked as the active Block, HDSP does not need to remember an Oracle row id, does not need a synced-amount cache (the UPDATE is naturally idempotent — see §7), and does not need a separate ledger entry type for Oracle-detected events, because there are none. loyalty_accounts and loyalty_transactions are unchanged.</w:t>
      </w:r>
    </w:p>
    <w:p>
      <w:pPr>
        <w:pStyle w:val="Heading1"/>
        <w:spacing w:after="160" w:before="320"/>
      </w:pPr>
      <w:r>
        <w:t xml:space="preserve">5. Oracle Changes — Exact SQL Operations</w:t>
      </w:r>
    </w:p>
    <w:p>
      <w:pPr>
        <w:spacing w:after="160"/>
      </w:pPr>
      <w:r>
        <w:rPr>
          <w:rFonts w:ascii="Calibri" w:cs="Calibri" w:eastAsia="Calibri" w:hAnsi="Calibri"/>
          <w:b w:val="false"/>
          <w:bCs w:val="false"/>
          <w:i w:val="false"/>
          <w:iCs w:val="false"/>
          <w:sz w:val="22"/>
          <w:szCs w:val="22"/>
        </w:rPr>
        <w:t xml:space="preserve">A single UPDATE statement, scoped to the patient and DEPOSIT_TYPE=13, executed by OracleDepositLogBridgeService.syncActiveBlockAmount(). No preceding SELECT — the DEPOSIT_LOG_ID isn't needed for anything other than logging, so the design goes directly to the UPDATE and reads back only rowsAffected to detect the not-found case (§5.2). No MERGE, no INSERT — there is no case in this design where HDSP writes a new DEPOSIT_LOG row.</w:t>
      </w:r>
    </w:p>
    <w:p>
      <w:pPr>
        <w:pStyle w:val="Heading2"/>
        <w:spacing w:after="120" w:before="240"/>
      </w:pPr>
      <w:r>
        <w:t xml:space="preserve">5.1 Update the active Block record's amount</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UPDATE DEPOSIT_LOG</w:t>
      </w:r>
      <w:r>
        <w:br/>
        <w:t xml:space="preserve"/>
      </w:r>
      <w:r>
        <w:rPr>
          <w:rFonts w:ascii="Consolas" w:cs="Consolas" w:eastAsia="Consolas" w:hAnsi="Consolas"/>
          <w:sz w:val="18"/>
          <w:szCs w:val="18"/>
        </w:rPr>
        <w:t xml:space="preserve">SET    DEPOSIT_AMOUNT = :redeemableAmount</w:t>
      </w:r>
      <w:r>
        <w:br/>
        <w:t xml:space="preserve"/>
      </w:r>
      <w:r>
        <w:rPr>
          <w:rFonts w:ascii="Consolas" w:cs="Consolas" w:eastAsia="Consolas" w:hAnsi="Consolas"/>
          <w:sz w:val="18"/>
          <w:szCs w:val="18"/>
        </w:rPr>
        <w:t xml:space="preserve">WHERE  PATIENT_ID    = :patientId</w:t>
      </w:r>
      <w:r>
        <w:br/>
        <w:t xml:space="preserve"/>
      </w:r>
      <w:r>
        <w:rPr>
          <w:rFonts w:ascii="Consolas" w:cs="Consolas" w:eastAsia="Consolas" w:hAnsi="Consolas"/>
          <w:sz w:val="18"/>
          <w:szCs w:val="18"/>
        </w:rPr>
        <w:t xml:space="preserve">  AND  DEPOSIT_TYPE   = 13</w:t>
      </w:r>
      <w:r>
        <w:br/>
        <w:t xml:space="preserve"/>
      </w:r>
      <w:r>
        <w:rPr>
          <w:rFonts w:ascii="Consolas" w:cs="Consolas" w:eastAsia="Consolas" w:hAnsi="Consolas"/>
          <w:sz w:val="18"/>
          <w:szCs w:val="18"/>
        </w:rPr>
        <w:t xml:space="preserve">  AND  DEPOSIT_STATUS = 'Block'</w:t>
      </w:r>
    </w:p>
    <w:p>
      <w:pPr>
        <w:spacing w:after="160"/>
      </w:pPr>
      <w:r>
        <w:rPr>
          <w:rFonts w:ascii="Calibri" w:cs="Calibri" w:eastAsia="Calibri" w:hAnsi="Calibri"/>
          <w:b w:val="false"/>
          <w:bCs w:val="false"/>
          <w:i w:val="false"/>
          <w:iCs w:val="false"/>
          <w:sz w:val="22"/>
          <w:szCs w:val="22"/>
        </w:rPr>
        <w:t xml:space="preserve">No INSERT. No DELETE. No DEPOSIT_STATUS change. Oracle HIS remains solely responsible for creating the very first Block row when loyalty is enabled, and for every Block → UnBlock → new-Block transition that happens at redemption time.</w:t>
      </w:r>
    </w:p>
    <w:p>
      <w:pPr>
        <w:pStyle w:val="Heading2"/>
        <w:spacing w:after="120" w:before="240"/>
      </w:pPr>
      <w:r>
        <w:t xml:space="preserve">5.2 Row-not-found case</w:t>
      </w:r>
    </w:p>
    <w:p>
      <w:pPr>
        <w:spacing w:after="160"/>
      </w:pPr>
      <w:r>
        <w:rPr>
          <w:rFonts w:ascii="Calibri" w:cs="Calibri" w:eastAsia="Calibri" w:hAnsi="Calibri"/>
          <w:b w:val="false"/>
          <w:bCs w:val="false"/>
          <w:i w:val="false"/>
          <w:iCs w:val="false"/>
          <w:sz w:val="22"/>
          <w:szCs w:val="22"/>
        </w:rPr>
        <w:t xml:space="preserve">If rowsAffected = 0, HDSP does not create a row. This means either the patient has not yet been enrolled in the Oracle-side deposit lifecycle by HIS, or (see §5.3) the PATIENT_ID binding doesn't match this tenant's DEPOSIT_LOG for some other reason. The bridge logs a warning and returns — there is no dedicated retry queue for this write (see §7's "Oracle unavailable" row for why that's an intentional simplification, not an oversight).</w:t>
      </w:r>
    </w:p>
    <w:p>
      <w:pPr>
        <w:pStyle w:val="Heading2"/>
        <w:spacing w:after="120" w:before="240"/>
      </w:pPr>
      <w:r>
        <w:t xml:space="preserve">5.3 Oracle HIS invariant this design depends on</w:t>
      </w:r>
    </w:p>
    <w:p>
      <w:pPr>
        <w:spacing w:after="160"/>
      </w:pPr>
      <w:r>
        <w:rPr>
          <w:rFonts w:ascii="Calibri" w:cs="Calibri" w:eastAsia="Calibri" w:hAnsi="Calibri"/>
          <w:b/>
          <w:bCs/>
          <w:sz w:val="22"/>
          <w:szCs w:val="22"/>
        </w:rPr>
        <w:t xml:space="preserve">Oracle HIS Invariant: </w:t>
      </w:r>
      <w:r>
        <w:rPr>
          <w:rFonts w:ascii="Calibri" w:cs="Calibri" w:eastAsia="Calibri" w:hAnsi="Calibri"/>
          <w:sz w:val="22"/>
          <w:szCs w:val="22"/>
        </w:rPr>
        <w:t xml:space="preserve">at any point in time, there is at most one DEPOSIT_LOG record where DEPOSIT_TYPE = 13 and DEPOSIT_STATUS = 'Block' for a given patient. Oracle HIS is solely responsible for maintaining this invariant — by converting the previous Block record to UnBlock and creating a new Block record on every redemption. HDSP relies on this invariant and updates only that single active Block record; it never disambiguates between multiple candidate rows.</w:t>
      </w:r>
    </w:p>
    <w:p>
      <w:pPr>
        <w:spacing w:after="160"/>
      </w:pPr>
      <w:r>
        <w:rPr>
          <w:rFonts w:ascii="Calibri" w:cs="Calibri" w:eastAsia="Calibri" w:hAnsi="Calibri"/>
          <w:b w:val="false"/>
          <w:bCs w:val="false"/>
          <w:i w:val="false"/>
          <w:iCs w:val="false"/>
          <w:sz w:val="22"/>
          <w:szCs w:val="22"/>
        </w:rPr>
        <w:t xml:space="preserve">This was confirmed as the correct model for this HIS deployment (§2.1), and the DEPOSIT_LOG sample data in the original screenshots is consistent with it. If a future tenant's Oracle HIS version does not hold this invariant (e.g. a patient could somehow have two simultaneous Block rows for DEPOSIT_TYPE=13, perhaps split by visit or site), the WHERE clause in §5.1 would need to be narrowed — e.g. adding a VISIT or SITE predicate — before enabling this sync for that tenant. This is worth a one-time confirmation per new HIS deployment rather than an assumption baked permanently into the query.</w:t>
      </w:r>
    </w:p>
    <w:p>
      <w:pPr>
        <w:pStyle w:val="Heading1"/>
        <w:spacing w:after="160" w:before="320"/>
      </w:pPr>
      <w:r>
        <w:t xml:space="preserve">6. Sequence Diagram — End to End</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8"/>
          <w:szCs w:val="18"/>
        </w:rPr>
        <w:t xml:space="preserve">Oracle Bill Imported</w:t>
      </w:r>
      <w:r>
        <w:br/>
        <w:t xml:space="preserve"/>
      </w:r>
      <w:r>
        <w:rPr>
          <w:rFonts w:ascii="Consolas" w:cs="Consolas" w:eastAsia="Consolas" w:hAnsi="Consolas"/>
          <w:sz w:val="18"/>
          <w:szCs w:val="18"/>
        </w:rPr>
        <w:t xml:space="preserve">   |  (existing) HisSyncScheduler tick -&gt; BillingService.getChangedBills(cursor)</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HDSP Loyalty Calculation</w:t>
      </w:r>
      <w:r>
        <w:br/>
        <w:t xml:space="preserve"/>
      </w:r>
      <w:r>
        <w:rPr>
          <w:rFonts w:ascii="Consolas" w:cs="Consolas" w:eastAsia="Consolas" w:hAnsi="Consolas"/>
          <w:sz w:val="18"/>
          <w:szCs w:val="18"/>
        </w:rPr>
        <w:t xml:space="preserve">   |  TransactionService.earnFromBill / adjustFromBill / reverseFromBill</w:t>
      </w:r>
      <w:r>
        <w:br/>
        <w:t xml:space="preserve"/>
      </w:r>
      <w:r>
        <w:rPr>
          <w:rFonts w:ascii="Consolas" w:cs="Consolas" w:eastAsia="Consolas" w:hAnsi="Consolas"/>
          <w:sz w:val="18"/>
          <w:szCs w:val="18"/>
        </w:rPr>
        <w:t xml:space="preserve">   |  PointEngineService.calculateEarnPoints() -&gt; points delta</w:t>
      </w:r>
      <w:r>
        <w:br/>
        <w:t xml:space="preserve"/>
      </w:r>
      <w:r>
        <w:rPr>
          <w:rFonts w:ascii="Consolas" w:cs="Consolas" w:eastAsia="Consolas" w:hAnsi="Consolas"/>
          <w:sz w:val="18"/>
          <w:szCs w:val="18"/>
        </w:rPr>
        <w:t xml:space="preserve">   |  Postgres TX: loyalty_transactions INSERT, loyalty_accounts UPDATE, COMMIT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Redeemable Amount Calculated</w:t>
      </w:r>
      <w:r>
        <w:br/>
        <w:t xml:space="preserve"/>
      </w:r>
      <w:r>
        <w:rPr>
          <w:rFonts w:ascii="Consolas" w:cs="Consolas" w:eastAsia="Consolas" w:hAnsi="Consolas"/>
          <w:sz w:val="18"/>
          <w:szCs w:val="18"/>
        </w:rPr>
        <w:t xml:space="preserve">   |  PointEngineService.computeDiscount(availablePoints, category) -&gt; cardValue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Find Oracle DEPOSIT_LOG   (PATIENT_ID + DEPOSIT_TYPE=13 + DEPOSIT_STATUS='Block')</w:t>
      </w:r>
      <w:r>
        <w:br/>
        <w:t xml:space="preserve"/>
      </w:r>
      <w:r>
        <w:rPr>
          <w:rFonts w:ascii="Consolas" w:cs="Consolas" w:eastAsia="Consolas" w:hAnsi="Consolas"/>
          <w:sz w:val="18"/>
          <w:szCs w:val="18"/>
        </w:rPr>
        <w:t xml:space="preserve">   |  [NEW] OracleDepositLogBridgeService.syncActiveBlockAmount(), post-commit, fire-and-forget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UPDATE DEPOSIT_AMOUNT</w:t>
      </w:r>
      <w:r>
        <w:br/>
        <w:t xml:space="preserve"/>
      </w:r>
      <w:r>
        <w:rPr>
          <w:rFonts w:ascii="Consolas" w:cs="Consolas" w:eastAsia="Consolas" w:hAnsi="Consolas"/>
          <w:sz w:val="18"/>
          <w:szCs w:val="18"/>
        </w:rPr>
        <w:t xml:space="preserve">   |  on failure -&gt; log and return; no retry queue. The next recalculation</w:t>
      </w:r>
      <w:r>
        <w:br/>
        <w:t xml:space="preserve"/>
      </w:r>
      <w:r>
        <w:rPr>
          <w:rFonts w:ascii="Consolas" w:cs="Consolas" w:eastAsia="Consolas" w:hAnsi="Consolas"/>
          <w:sz w:val="18"/>
          <w:szCs w:val="18"/>
        </w:rPr>
        <w:t xml:space="preserve">   |  for this patient (next bill/redemption/sync tick) naturally re-sends</w:t>
      </w:r>
      <w:r>
        <w:br/>
        <w:t xml:space="preserve"/>
      </w:r>
      <w:r>
        <w:rPr>
          <w:rFonts w:ascii="Consolas" w:cs="Consolas" w:eastAsia="Consolas" w:hAnsi="Consolas"/>
          <w:sz w:val="18"/>
          <w:szCs w:val="18"/>
        </w:rPr>
        <w:t xml:space="preserve">   |  the correct current balance.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Done — Patient's next visit sees the updated balance on the Oracle billing screen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 — — — — — — — — — — — — — — — — — — — — — — — — — — — — — — — —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After Redemption (entirely inside Oracle HIS, unchanged by this work):</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Billing staff redeem loyalty on the Oracle billing screen</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HIS marks previous Block row -&gt; UnBlock</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Oracle HIS creates a new Block row containing the remaining balance</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Billing completed (Oracle-native, no HDSP involvement)</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 — — — — — — — — — — — — — — — — — — — — — — — — — — — — — — — — — —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Later, at the next HDSP synchronization cycle:</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New Redeemable Balance calculated in Postgres</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UPDATE current active Block record (DEPOSIT_TYPE=13, STATUS='Block')</w:t>
      </w:r>
      <w:r>
        <w:br/>
        <w:t xml:space="preserve"/>
      </w:r>
      <w:r>
        <w:rPr>
          <w:rFonts w:ascii="Consolas" w:cs="Consolas" w:eastAsia="Consolas" w:hAnsi="Consolas"/>
          <w:sz w:val="18"/>
          <w:szCs w:val="18"/>
        </w:rPr>
        <w:t xml:space="preserve">   -- HDSP only ever updates the amount; Oracle continues to own deposit history.</w:t>
      </w:r>
    </w:p>
    <w:p>
      <w:pPr>
        <w:pStyle w:val="Heading1"/>
        <w:spacing w:after="160" w:before="320"/>
      </w:pPr>
      <w:r>
        <w:t xml:space="preserve">7. Edge Cases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Case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Handling</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Partial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Redemption itself is entirely Oracle-side (§2.1/§6). HDSP's next recalculation simply computes the new redeemable balance from its own ledger and issues the same UPDATE DEPOSIT_AMOUNT against whichever row Oracle currently has marked Block.</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Full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partial — HDSP UPDATEs the amount to whatever computeDiscount() currently returns (potentially 0). loyalty_accounts.available_points ≥ 0 is already enforced by an existing CHECK constraint, so the value pushed to Oracle is never negative.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redemption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The UPDATE simply republishes the current (possibly increased) balance onto the same active Block row. Because the statement is a plain WHERE-scoped UPDATE rather than an insert, running it with an unchanged value is a harmless no-op — no separate skip/cache column is needed (this replaces the oracle_deposit_synced_amount skip-check proposed in v1).</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Cancelled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Existing TransactionService.reverseFromBill() path already handles the point reversal; after it commits, the same syncActiveBlockAmount() call republishes the corrected balance onto the active Block row.</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Refunded bill</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Same as cancelled — handled via the existing REVERSE transaction type, followed by the same UPDATE.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Recalculation (e.g. tier or config change)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CardConfigService's existing bulk tier recalculation should, after updating tiers, enqueue a batched Block-amount refresh via the existing BullMQ LOYALTY_EVENTS queue rather than a synchronous per-account Oracle write, to avoid a write storm.</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scheduler execution</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his-sync.scheduler.ts already guards against overlap with its running boolean. Even if two syncActiveBlockAmount() calls fired for the same patient, both would UPDATE the same row to the same value — a naturally idempotent, order-independent no-op, since the statement carries no row-identity assumption beyond the WHERE clause.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Oracle unavailable</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IOracleTransport.isAvailable / circuit breaker (§1.4) causes the bridge write to log and return immediately; the Postgres loyalty calculation already committed and is unaffected. No dedicated retry queue is used for this write — by design (§8 refinement): syncActiveBlockAmount() always pushes the current derived balance, not a delta, so the next loyalty recalculation for that patient (next bill, next redemption, next sync tick touching them) naturally re-sends the correct up-to-date value. A queue would only add operational complexity for a value that self-heals on its own.</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No active Block row found</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If HIS has not yet enrolled the patient into the deposit lifecycle (§5.2), the UPDATE affects 0 rows. HDSP logs a warning and does not attempt to create the row itself; the next recalculation retries in case enrollment lands shortly after.</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Concurrent billing (two bills for the same patient near-simultaneously)</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 TransactionService writes are already serialized per account via the QueryRunner transaction pattern; the Oracle UPDATE always uses the balance read at the end of that committed transaction, so the last commit wins and Oracle's Block amount always reflects the latest committed Postgres state.</w:t>
            </w:r>
          </w:p>
        </w:tc>
      </w:tr>
    </w:tbl>
    <w:p>
      <w:pPr>
        <w:pStyle w:val="Heading1"/>
        <w:spacing w:after="160" w:before="320"/>
      </w:pPr>
      <w:r>
        <w:t xml:space="preserve">8. Implementation Plan</w:t>
      </w:r>
    </w:p>
    <w:p>
      <w:pPr>
        <w:spacing w:after="160"/>
      </w:pPr>
      <w:r>
        <w:rPr>
          <w:rFonts w:ascii="Calibri" w:cs="Calibri" w:eastAsia="Calibri" w:hAnsi="Calibri"/>
          <w:b w:val="false"/>
          <w:bCs w:val="false"/>
          <w:i w:val="false"/>
          <w:iCs w:val="false"/>
          <w:sz w:val="22"/>
          <w:szCs w:val="22"/>
        </w:rPr>
        <w:t xml:space="preserve">Considerably shorter than v1, since there is no schema migration, no insert/reconcile logic, and no DEPOSIT_LOG read/polling path.</w:t>
      </w:r>
    </w:p>
    <w:p>
      <w:pPr>
        <w:pStyle w:val="Heading2"/>
        <w:spacing w:after="120" w:before="240"/>
      </w:pPr>
      <w:r>
        <w:t xml:space="preserve">Step 1 — Oracle bridge service</w:t>
      </w:r>
    </w:p>
    <w:p>
      <w:pPr>
        <w:pStyle w:val="ListParagraph"/>
        <w:numPr>
          <w:ilvl w:val="0"/>
          <w:numId w:val="2"/>
        </w:numPr>
        <w:spacing w:after="80"/>
      </w:pPr>
      <w:r>
        <w:rPr>
          <w:rFonts w:ascii="Calibri" w:cs="Calibri" w:eastAsia="Calibri" w:hAnsi="Calibri"/>
          <w:sz w:val="22"/>
          <w:szCs w:val="22"/>
        </w:rPr>
        <w:t xml:space="preserve">Create OracleDepositLogBridgeService (backend/src/modules/his/billing/oracle-deposit-log-bridge.service.ts), modeled on HisLoyaltyBridgeService's structure (constructor-injects IOracleTransport, never throws, logs and swallows on failure) but with a single public method: syncActiveBlockAmount(patientId, redeemableAmount) — issues the UPDATE directly (§5.1, no preceding SELECT), logs a warning on zero-rows-affected (§5.2).</w:t>
      </w:r>
    </w:p>
    <w:p>
      <w:pPr>
        <w:pStyle w:val="ListParagraph"/>
        <w:numPr>
          <w:ilvl w:val="0"/>
          <w:numId w:val="2"/>
        </w:numPr>
        <w:spacing w:after="80"/>
      </w:pPr>
      <w:r>
        <w:rPr>
          <w:rFonts w:ascii="Calibri" w:cs="Calibri" w:eastAsia="Calibri" w:hAnsi="Calibri"/>
          <w:sz w:val="22"/>
          <w:szCs w:val="22"/>
        </w:rPr>
        <w:t xml:space="preserve">Register as a provider in his.module.ts.</w:t>
      </w:r>
    </w:p>
    <w:p>
      <w:pPr>
        <w:pStyle w:val="Heading2"/>
        <w:spacing w:after="120" w:before="240"/>
      </w:pPr>
      <w:r>
        <w:t xml:space="preserve">Step 2 — Wire the write path, strictly post-commit</w:t>
      </w:r>
    </w:p>
    <w:p>
      <w:pPr>
        <w:pStyle w:val="ListParagraph"/>
        <w:numPr>
          <w:ilvl w:val="0"/>
          <w:numId w:val="2"/>
        </w:numPr>
        <w:spacing w:after="80"/>
      </w:pPr>
      <w:r>
        <w:rPr>
          <w:rFonts w:ascii="Calibri" w:cs="Calibri" w:eastAsia="Calibri" w:hAnsi="Calibri"/>
          <w:sz w:val="22"/>
          <w:szCs w:val="22"/>
        </w:rPr>
        <w:t xml:space="preserve">Enforced ordering rule: begin Postgres transaction → update loyalty account → insert loyalty transaction → commit → THEN compute the latest redeemable amount → THEN call syncActiveBlockAmount(). The Oracle call must never be reachable from inside the try block that precedes commitTransaction(), and must never run if the Postgres transaction rolled back — if Postgres rolls back, Oracle must remain untouched.</w:t>
      </w:r>
    </w:p>
    <w:p>
      <w:pPr>
        <w:pStyle w:val="ListParagraph"/>
        <w:numPr>
          <w:ilvl w:val="0"/>
          <w:numId w:val="2"/>
        </w:numPr>
        <w:spacing w:after="80"/>
      </w:pPr>
      <w:r>
        <w:rPr>
          <w:rFonts w:ascii="Calibri" w:cs="Calibri" w:eastAsia="Calibri" w:hAnsi="Calibri"/>
          <w:sz w:val="22"/>
          <w:szCs w:val="22"/>
        </w:rPr>
        <w:t xml:space="preserve">In TransactionService (earnFromBill, adjustFromBill, reverseFromBill) and RedemptionService (createRedemption), place the syncActiveBlockAmount() call after commitTransaction() has already returned successfully, alongside the existing post-commit pushAccountToOracle()/upsertLoyaltySummary() calls.</w:t>
      </w:r>
    </w:p>
    <w:p>
      <w:pPr>
        <w:pStyle w:val="ListParagraph"/>
        <w:numPr>
          <w:ilvl w:val="0"/>
          <w:numId w:val="2"/>
        </w:numPr>
        <w:spacing w:after="80"/>
      </w:pPr>
      <w:r>
        <w:rPr>
          <w:rFonts w:ascii="Calibri" w:cs="Calibri" w:eastAsia="Calibri" w:hAnsi="Calibri"/>
          <w:sz w:val="22"/>
          <w:szCs w:val="22"/>
        </w:rPr>
        <w:t xml:space="preserve">In HisSyncService.syncNewBills(), call the same method after each bill-driven recalculation has already committed via TransactionService.</w:t>
      </w:r>
    </w:p>
    <w:p>
      <w:pPr>
        <w:pStyle w:val="Heading2"/>
        <w:spacing w:after="120" w:before="240"/>
      </w:pPr>
      <w:r>
        <w:t xml:space="preserve">Step 3 — Observability (no retry queue)</w:t>
      </w:r>
    </w:p>
    <w:p>
      <w:pPr>
        <w:pStyle w:val="ListParagraph"/>
        <w:numPr>
          <w:ilvl w:val="0"/>
          <w:numId w:val="2"/>
        </w:numPr>
        <w:spacing w:after="80"/>
      </w:pPr>
      <w:r>
        <w:rPr>
          <w:rFonts w:ascii="Calibri" w:cs="Calibri" w:eastAsia="Calibri" w:hAnsi="Calibri"/>
          <w:sz w:val="22"/>
          <w:szCs w:val="22"/>
        </w:rPr>
        <w:t xml:space="preserve">Do not add a second Redis retry queue. On failure, log the error and return — the next loyalty recalculation for that patient (next bill, next redemption, next sync tick) naturally re-sends the current derived balance. This is safe specifically because the value pushed is always "the current balance," never a delta or an event that would be lost if not retried immediately.</w:t>
      </w:r>
    </w:p>
    <w:p>
      <w:pPr>
        <w:pStyle w:val="ListParagraph"/>
        <w:numPr>
          <w:ilvl w:val="0"/>
          <w:numId w:val="2"/>
        </w:numPr>
        <w:spacing w:after="80"/>
      </w:pPr>
      <w:r>
        <w:rPr>
          <w:rFonts w:ascii="Calibri" w:cs="Calibri" w:eastAsia="Calibri" w:hAnsi="Calibri"/>
          <w:sz w:val="22"/>
          <w:szCs w:val="22"/>
        </w:rPr>
        <w:t xml:space="preserve">Add GET /his/sync/test-deposit-bridge/:patientId as a read-only diagnostic endpoint that reports whether an active Block row exists for a patient and its current amount, mirroring the existing test-bridge endpoint's role for LOYALTY_PATIENT_SUMMARY.</w:t>
      </w:r>
    </w:p>
    <w:p>
      <w:pPr>
        <w:pStyle w:val="Heading2"/>
        <w:spacing w:after="120" w:before="240"/>
      </w:pPr>
      <w:r>
        <w:t xml:space="preserve">Step 4 — Testing</w:t>
      </w:r>
    </w:p>
    <w:p>
      <w:pPr>
        <w:pStyle w:val="ListParagraph"/>
        <w:numPr>
          <w:ilvl w:val="0"/>
          <w:numId w:val="2"/>
        </w:numPr>
        <w:spacing w:after="80"/>
      </w:pPr>
      <w:r>
        <w:rPr>
          <w:rFonts w:ascii="Calibri" w:cs="Calibri" w:eastAsia="Calibri" w:hAnsi="Calibri"/>
          <w:sz w:val="22"/>
          <w:szCs w:val="22"/>
        </w:rPr>
        <w:t xml:space="preserve">Unit tests for computeDiscount()-driven amount values under partial/full/no-redemption scenarios (§7).</w:t>
      </w:r>
    </w:p>
    <w:p>
      <w:pPr>
        <w:pStyle w:val="ListParagraph"/>
        <w:numPr>
          <w:ilvl w:val="0"/>
          <w:numId w:val="2"/>
        </w:numPr>
        <w:spacing w:after="80"/>
      </w:pPr>
      <w:r>
        <w:rPr>
          <w:rFonts w:ascii="Calibri" w:cs="Calibri" w:eastAsia="Calibri" w:hAnsi="Calibri"/>
          <w:sz w:val="22"/>
          <w:szCs w:val="22"/>
        </w:rPr>
        <w:t xml:space="preserve">Integration test against a test Oracle schema: run the sync cycle twice in a row with an unchanged balance and assert the UPDATE is a harmless repeat (no duplicate rows possible by construction, since no INSERT path exists).</w:t>
      </w:r>
    </w:p>
    <w:p>
      <w:pPr>
        <w:pStyle w:val="ListParagraph"/>
        <w:numPr>
          <w:ilvl w:val="0"/>
          <w:numId w:val="2"/>
        </w:numPr>
        <w:spacing w:after="80"/>
      </w:pPr>
      <w:r>
        <w:rPr>
          <w:rFonts w:ascii="Calibri" w:cs="Calibri" w:eastAsia="Calibri" w:hAnsi="Calibri"/>
          <w:sz w:val="22"/>
          <w:szCs w:val="22"/>
        </w:rPr>
        <w:t xml:space="preserve">Failure-injection test: Oracle transport forced unavailable during a sync call — assert the Postgres commit already succeeded and is unaffected, and that the next sync cycle for the same patient re-sends the correct current balance without any queue involved.</w:t>
      </w:r>
    </w:p>
    <w:p>
      <w:pPr>
        <w:pStyle w:val="ListParagraph"/>
        <w:numPr>
          <w:ilvl w:val="0"/>
          <w:numId w:val="2"/>
        </w:numPr>
        <w:spacing w:after="80"/>
      </w:pPr>
      <w:r>
        <w:rPr>
          <w:rFonts w:ascii="Calibri" w:cs="Calibri" w:eastAsia="Calibri" w:hAnsi="Calibri"/>
          <w:sz w:val="22"/>
          <w:szCs w:val="22"/>
        </w:rPr>
        <w:t xml:space="preserve">Zero-rows-affected test: patient with no existing active Block row — assert HDSP logs and skips rather than attempting any insert.</w:t>
      </w:r>
    </w:p>
    <w:p>
      <w:pPr>
        <w:pStyle w:val="ListParagraph"/>
        <w:numPr>
          <w:ilvl w:val="0"/>
          <w:numId w:val="2"/>
        </w:numPr>
        <w:spacing w:after="80"/>
      </w:pPr>
      <w:r>
        <w:rPr>
          <w:rFonts w:ascii="Calibri" w:cs="Calibri" w:eastAsia="Calibri" w:hAnsi="Calibri"/>
          <w:sz w:val="22"/>
          <w:szCs w:val="22"/>
        </w:rPr>
        <w:t xml:space="preserve">Rollback test: force the Postgres transaction to fail before commit — assert syncActiveBlockAmount() is never invoked.</w:t>
      </w:r>
    </w:p>
    <w:p>
      <w:pPr>
        <w:pStyle w:val="Heading2"/>
        <w:spacing w:after="120" w:before="240"/>
      </w:pPr>
      <w:r>
        <w:t xml:space="preserve">Step 5 — Rollout</w:t>
      </w:r>
    </w:p>
    <w:p>
      <w:pPr>
        <w:pStyle w:val="ListParagraph"/>
        <w:numPr>
          <w:ilvl w:val="0"/>
          <w:numId w:val="2"/>
        </w:numPr>
        <w:spacing w:after="80"/>
      </w:pPr>
      <w:r>
        <w:rPr>
          <w:rFonts w:ascii="Calibri" w:cs="Calibri" w:eastAsia="Calibri" w:hAnsi="Calibri"/>
          <w:sz w:val="22"/>
          <w:szCs w:val="22"/>
        </w:rPr>
        <w:t xml:space="preserve">Ship behind the existing LOYALTY module license gate already used by his-sync.scheduler.ts, consistent with how the rest of the loyalty/Oracle bridge is gated today.</w:t>
      </w:r>
    </w:p>
    <w:p>
      <w:pPr>
        <w:pStyle w:val="ListParagraph"/>
        <w:numPr>
          <w:ilvl w:val="0"/>
          <w:numId w:val="2"/>
        </w:numPr>
        <w:spacing w:after="80"/>
      </w:pPr>
      <w:r>
        <w:rPr>
          <w:rFonts w:ascii="Calibri" w:cs="Calibri" w:eastAsia="Calibri" w:hAnsi="Calibri"/>
          <w:sz w:val="22"/>
          <w:szCs w:val="22"/>
        </w:rPr>
        <w:t xml:space="preserve">Before enabling for a new tenant, use the diagnostic endpoint from Step 3 to confirm the PATIENT_ID binding matches that tenant's DEPOSIT_LOG, and confirm the uniqueness invariant in §5.3 holds for their HIS version.</w:t>
      </w:r>
    </w:p>
    <w:p>
      <w:pPr>
        <w:pStyle w:val="Heading1"/>
        <w:spacing w:after="160" w:before="320"/>
      </w:pPr>
      <w:r>
        <w:t xml:space="preserve">9. As Implemented</w:t>
      </w:r>
    </w:p>
    <w:p>
      <w:pPr>
        <w:spacing w:after="160"/>
      </w:pPr>
      <w:r>
        <w:rPr>
          <w:rFonts w:ascii="Calibri" w:cs="Calibri" w:eastAsia="Calibri" w:hAnsi="Calibri"/>
          <w:b w:val="false"/>
          <w:bCs w:val="false"/>
          <w:i w:val="false"/>
          <w:iCs w:val="false"/>
          <w:sz w:val="22"/>
          <w:szCs w:val="22"/>
        </w:rPr>
        <w:t xml:space="preserve">The design above has been implemented in full. Summary of what shipped: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rPr>
          <w:tblHeader/>
        </w:trPr>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File</w:t>
            </w:r>
          </w:p>
        </w:tc>
        <w:tc>
          <w:tcPr>
            <w:tcW w:type="dxa" w:w="0"/>
            <w:shd w:fill="2E5496"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backend/src/modules/his/billing/oracle-deposit-log-bridge.service.ts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NEW — syncActiveBlockAmount(patientId, redeemableAmount) issues the single UPDATE from §5.1; findActiveBlockAmount(patientId) is a read-only diagnostic helper backing the new endpoint. Never throws; logs and returns on any failure, with no retry queue (§7/§8).</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backend/src/modules/his/his.module.ts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Registered OracleDepositLogBridgeService as a provider and export, alongside the existing HisLoyaltyBridgeService.</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backend/src/modules/loyalty/services/transaction.service.ts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post-commit in earnFromBill(), and via the shared pushAccountToOracle() helper used by adjustFromBill()/reverseFromBill() — both already only invoked after commitTransaction() succeeds.</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backend/src/modules/loyalty/services/redemption.service.ts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post-commit in createRedemption(), alongside the existing LOYALTY_PATIENT_SUMMARY push.</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backend/src/modules/his/sync/his-sync.service.ts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syncActiveBlockAmount() is called from the existing pushAccountToOracle() helper, which is itself only ever invoked from syncNewBills() after the corresponding TransactionService call has completed.</w:t>
            </w:r>
          </w:p>
        </w:tc>
      </w:tr>
      <w:tr>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backend/src/modules/his/sync/his-sync.controller.ts</w:t>
            </w:r>
          </w:p>
        </w:tc>
        <w:tc>
          <w:tcPr>
            <w:tcW w:type="dxa" w:w="0"/>
            <w:tcMar>
              <w:top w:type="dxa" w:w="80"/>
              <w:left w:type="dxa" w:w="100"/>
              <w:bottom w:type="dxa" w:w="80"/>
              <w:right w:type="dxa" w:w="100"/>
            </w:tcMar>
          </w:tcPr>
          <w:p>
            <w:r>
              <w:rPr>
                <w:rFonts w:ascii="Calibri" w:cs="Calibri" w:eastAsia="Calibri" w:hAnsi="Calibri"/>
                <w:b w:val="false"/>
                <w:bCs w:val="false"/>
                <w:color w:val="000000"/>
                <w:sz w:val="20"/>
                <w:szCs w:val="20"/>
              </w:rPr>
              <w:t xml:space="preserve">Added GET /his/sync/test-deposit-bridge/:patientId, read-only, permission-gated the same as the existing test-bridge endpoint.</w:t>
            </w:r>
          </w:p>
        </w:tc>
      </w:tr>
    </w:tbl>
    <w:p>
      <w:pPr>
        <w:spacing w:after="160"/>
      </w:pPr>
      <w:r>
        <w:rPr>
          <w:rFonts w:ascii="Calibri" w:cs="Calibri" w:eastAsia="Calibri" w:hAnsi="Calibri"/>
          <w:b w:val="false"/>
          <w:bCs w:val="false"/>
          <w:i w:val="false"/>
          <w:iCs w:val="false"/>
          <w:sz w:val="22"/>
          <w:szCs w:val="22"/>
        </w:rPr>
        <w:t xml:space="preserve">No Postgres migration was added, per §4. Not yet done, and out of scope for this pass: confirming the exact PATIENT_ID binding against a live Oracle DEPOSIT_LOG for a real tenant, and a full compiler build/typecheck pass of the whole backend (attempted but the project's full tsc run did not complete within this environment's execution window; the changed files were reviewed manually against the existing TypeScript patterns in each file instead). Both are recommended before this ships to a staging environment.</w:t>
      </w:r>
    </w:p>
    <w:p>
      <w:pPr>
        <w:pStyle w:val="Heading2"/>
        <w:spacing w:after="120" w:before="240"/>
      </w:pPr>
      <w:r>
        <w:t xml:space="preserve">9.1 Revision (v3 → v4) — post-review hardening</w:t>
      </w:r>
    </w:p>
    <w:p>
      <w:pPr>
        <w:spacing w:after="160"/>
      </w:pPr>
      <w:r>
        <w:rPr>
          <w:rFonts w:ascii="Calibri" w:cs="Calibri" w:eastAsia="Calibri" w:hAnsi="Calibri"/>
          <w:b w:val="false"/>
          <w:bCs w:val="false"/>
          <w:i w:val="false"/>
          <w:iCs w:val="false"/>
          <w:sz w:val="22"/>
          <w:szCs w:val="22"/>
        </w:rPr>
        <w:t xml:space="preserve">Following code review, four refinements were applied to OracleDepositLogBridgeService and the diagnostic endpoint:</w:t>
      </w:r>
    </w:p>
    <w:p>
      <w:pPr>
        <w:pStyle w:val="ListParagraph"/>
        <w:numPr>
          <w:ilvl w:val="0"/>
          <w:numId w:val="2"/>
        </w:numPr>
        <w:spacing w:after="80"/>
      </w:pPr>
      <w:r>
        <w:rPr>
          <w:rFonts w:ascii="Calibri" w:cs="Calibri" w:eastAsia="Calibri" w:hAnsi="Calibri"/>
          <w:sz w:val="22"/>
          <w:szCs w:val="22"/>
        </w:rPr>
        <w:t xml:space="preserve">The redeemable amount is now rounded to 2 decimal places (Number(redeemableAmount.toFixed(2))) before being sent to Oracle, guarding against floating-point artifacts from computeDiscount()'s arithmetic (e.g. 742.49999999997).</w:t>
      </w:r>
    </w:p>
    <w:p>
      <w:pPr>
        <w:pStyle w:val="ListParagraph"/>
        <w:numPr>
          <w:ilvl w:val="0"/>
          <w:numId w:val="2"/>
        </w:numPr>
        <w:spacing w:after="80"/>
      </w:pPr>
      <w:r>
        <w:rPr>
          <w:rFonts w:ascii="Calibri" w:cs="Calibri" w:eastAsia="Calibri" w:hAnsi="Calibri"/>
          <w:sz w:val="22"/>
          <w:szCs w:val="22"/>
        </w:rPr>
        <w:t xml:space="preserve">rowsAffected is now checked for both 0 (no active Block row — logged as a warning, unchanged from v3) and &gt;1 (the §5.3 uniqueness invariant has been violated for this tenant — now logged as an error, since HDSP should never silently update more than one row).</w:t>
      </w:r>
    </w:p>
    <w:p>
      <w:pPr>
        <w:pStyle w:val="ListParagraph"/>
        <w:numPr>
          <w:ilvl w:val="0"/>
          <w:numId w:val="2"/>
        </w:numPr>
        <w:spacing w:after="80"/>
      </w:pPr>
      <w:r>
        <w:rPr>
          <w:rFonts w:ascii="Calibri" w:cs="Calibri" w:eastAsia="Calibri" w:hAnsi="Calibri"/>
          <w:sz w:val="22"/>
          <w:szCs w:val="22"/>
        </w:rPr>
        <w:t xml:space="preserve">The debug log on a successful update now includes rowsAffected alongside patientId and amount, for easier production troubleshooting.</w:t>
      </w:r>
    </w:p>
    <w:p>
      <w:pPr>
        <w:pStyle w:val="ListParagraph"/>
        <w:numPr>
          <w:ilvl w:val="0"/>
          <w:numId w:val="2"/>
        </w:numPr>
        <w:spacing w:after="80"/>
      </w:pPr>
      <w:r>
        <w:rPr>
          <w:rFonts w:ascii="Calibri" w:cs="Calibri" w:eastAsia="Calibri" w:hAnsi="Calibri"/>
          <w:sz w:val="22"/>
          <w:szCs w:val="22"/>
        </w:rPr>
        <w:t xml:space="preserve">findActiveBlockAmount() (backing GET /his/sync/test-deposit-bridge/:patientId) now returns a richer shape — { patientId, found, currentDepositAmount, depositType, status, matchCount } — instead of just { found, amount }, so operations staff can confirm the full record state without querying Oracle directly. matchCount surfaces the same invariant-violation signal as the rowsAffected&gt;1 check above, for the read path.</w:t>
      </w:r>
    </w:p>
    <w:p>
      <w:pPr>
        <w:spacing w:after="160"/>
      </w:pPr>
      <w:r>
        <w:rPr>
          <w:rFonts w:ascii="Calibri" w:cs="Calibri" w:eastAsia="Calibri" w:hAnsi="Calibri"/>
          <w:b w:val="false"/>
          <w:bCs w:val="false"/>
          <w:i w:val="false"/>
          <w:iCs w:val="false"/>
          <w:sz w:val="22"/>
          <w:szCs w:val="22"/>
        </w:rPr>
        <w:t xml:space="preserve">A documentation inconsistency was also corrected: the §6 sequence diagram previously retained a leftover line from the v2 draft ("on failure → existing ORACLE_RETRY_KEY Redis queue") that contradicted the no-retry-queue decision described in §7/§8. It now reads "on failure → log and return; no retry queue," consistent with the rest of the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2026-07-28T11:20:47.288Z</dcterms:created>
  <dcterms:modified xsi:type="dcterms:W3CDTF">2026-07-28T11:20:47.294Z</dcterms:modified>
</cp:coreProperties>
</file>

<file path=docProps/custom.xml><?xml version="1.0" encoding="utf-8"?>
<Properties xmlns="http://schemas.openxmlformats.org/officeDocument/2006/custom-properties" xmlns:vt="http://schemas.openxmlformats.org/officeDocument/2006/docPropsVTypes"/>
</file>