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ZoeConnect Identity Architecture Migration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Implementation Plan — Remove Subdomain Authentication &amp; Introduce Global User Identity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Prepared for: vignesh   |   Date: 2026-07-30   |   Repos: HDSP_HYBRID (backend, frontend, vendor-portal)</w:t>
      </w:r>
    </w:p>
    <w:p>
      <w:pPr>
        <w:pStyle w:val="Heading1"/>
        <w:spacing w:after="150" w:before="300"/>
      </w:pPr>
      <w:r>
        <w:t xml:space="preserve">1. Summary</w:t>
      </w:r>
    </w:p>
    <w:p>
      <w:pPr>
        <w:spacing w:after="120"/>
      </w:pPr>
      <w:r>
        <w:t xml:space="preserve">The codebase is already mid-migration toward this target. A real Tenant entity, tenant-scoped composite uniqueness on username/email, and a tenantId JWT claim already exist (introduced in a prior "Tenant Foundation / Multi-Tenancy Activation" effort). What remains is: (a) reversing username/email uniqueness from tenant-scoped back to global, (b) making login accept username-or-email with no Host/subdomain resolution involved in authentication, (c) removing the Host-header cross-check that currently runs in parallel with JWT-based authorization, (d) reworking vendor-portal provisioning so subdomain is no longer treated as the tenant's identity, and (e) introducing a genuinely new Organization Branch concept that is independent of the existing Oracle HIS Branch entity.</w:t>
      </w:r>
    </w:p>
    <w:p>
      <w:pPr>
        <w:spacing w:after="120"/>
      </w:pPr>
      <w:r>
        <w:t xml:space="preserve">Per your instruction, this plan does not rename Tenant → Organization internally. The word “Organization” in this document refers to the existing Tenant entity/table; “organizationId” is introduced as a new JWT claim mirroring the existing tenantId claim so the JWT literally satisfies the spec's wording without a mass rename.</w:t>
      </w:r>
    </w:p>
    <w:p>
      <w:pPr>
        <w:pStyle w:val="Heading1"/>
        <w:spacing w:after="150" w:before="300"/>
      </w:pPr>
      <w:r>
        <w:t xml:space="preserve">2. Current State (as found)</w:t>
      </w:r>
    </w:p>
    <w:p>
      <w:pPr>
        <w:pStyle w:val="Heading2"/>
        <w:spacing w:after="120" w:before="240"/>
      </w:pPr>
      <w:r>
        <w:t xml:space="preserve">2.1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/api/v1/auth/login takes { username, password } only — no email-or-username login exists today.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AuthService.resolveLoginUser() is gated by LOGIN_TENANT_SCOPE_MODE (legacy | shadow | enforced). In shadow mode (current default) it does a global username lookup as the authoritative path and a tenant-scoped lookup purely to log mismatches; enforced mode requires the tenant match.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Subdomain → Tenant resolution: SubdomainTenantMiddleware, invoked as a raw Fastify onRequest hook in main.ts (not a Nest MiddlewareConsumer middleware — a documented 2026-07-20 incident found Nest-style middleware never saw the real FastifyRequest). Sets req.tenantId / req.tenantCode.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TenantScopeGuard (global APP_GUARD) independently re-verifies the JWT and compares its tenantId claim against the Host-resolved req.tenantId. Currently log-only by default (TENANT_SCOPE_GUARD_MODE=log-only | enforced).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TokenGateway (WebSocket) also calls the same Host/subdomain resolver for anonymous kiosk connections and for authenticated sockets whose JWT lacks a tenantId claim.</w:t>
      </w:r>
    </w:p>
    <w:p>
      <w:pPr>
        <w:pStyle w:val="Heading2"/>
        <w:spacing w:after="120" w:before="240"/>
      </w:pPr>
      <w:r>
        <w:t xml:space="preserve">2.2 Data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users.tenant_id: NOT NULL uuid, no FK yet (“deferred to Stage B”).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uniqueness: uq_users_tenant_username UNIQUE(tenant_id, username), uq_users_tenant_email UNIQUE(tenant_id, email) — added by migration 1783880000000, which dropped the original global uq_users_username / uq_users_email from the very first schema migration. Reversing that migration is close to the template for Phase 4 below, except duplicate detection now must group by username/email alone and real cross-tenant collisions are plausible.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entity (tenant table): id, code, name, subdomain (nullable, unique-among-unreleased via partial index), status, subdomainReleasedAt, isSystem.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“Branch” today means a hospital's Oracle HIS org unit (branch.service.ts, live query against Oracle orgstructure), with a hardcoded DEFAULT_BRANCH_ID = '2' fallback. This is unrelated to the new Organization Branch concept and per your instruction must not be touched.</w:t>
      </w:r>
    </w:p>
    <w:p>
      <w:pPr>
        <w:pStyle w:val="Heading2"/>
        <w:spacing w:after="120" w:before="240"/>
      </w:pPr>
      <w:r>
        <w:t xml:space="preserve">2.3 JWT</w:t>
      </w:r>
    </w:p>
    <w:p>
      <w:pPr>
        <w:spacing w:after="120"/>
      </w:pPr>
      <w:r>
        <w:t xml:space="preserve">JwtPayload currently carries: sub, jti, username, hisEmployeeCode?, roles[], tenantId?, tenantSlug?, activeBranchId?, activeDepartmentId?, activeServiceCenterId?, plus display names and iat/exp. tenantId is already populated at login. Two unrelated derived-JWT shapes (reservation-capability, workstation/kiosk) coexist in the same strategy file and bypass DB lookup.</w:t>
      </w:r>
    </w:p>
    <w:p>
      <w:pPr>
        <w:pStyle w:val="Heading2"/>
        <w:spacing w:after="120" w:before="240"/>
      </w:pPr>
      <w:r>
        <w:t xml:space="preserve">2.4 Vendor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tenant provisioning (ProvisionCloudTenantDto) collects hospitalName, subdomain, adminUsername, adminEmail — subdomain is a required, globally-unique, hard-blocking field; username/email are checked only as “advisory” (comment in code explicitly says this is because they're tenant-scoped, not global, on the main backend today).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checkHdspAvailability() pre-flight returns canProceed based on subdomain availability primarily.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CloudTenant.loginUrl is built from the subdomain (https://&lt;subdomain&gt;.zoeconnect.in) and shown once in the provisioning dialog as the credential-handoff mechanism — this is the literal thing the spec asks to eliminate.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invitation flow exists anywhere (vendor-portal or frontend) — additional users are created directly by an admin with a chosen password. Nothing to migrate there beyond what's listed.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Licensing is tied to the hospitals table (hospital_id), cross-referenced (not FK'd) to cloud_tenants — unaffected by the identity changes as long as hdspTenantId / instanceSecret keep flowing the same way.</w:t>
      </w:r>
    </w:p>
    <w:p>
      <w:pPr>
        <w:pStyle w:val="Heading2"/>
        <w:spacing w:after="120" w:before="240"/>
      </w:pPr>
      <w:r>
        <w:t xml:space="preserve">2.5 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subdomain-parsing code in frontend/src — tenant context today is entirely incidental (each deployed frontend origin proxies to one backend via BACKEND_URL). Login page only collects username/password already; low risk to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sessionStorage-based session store is origin-scoped, so today it's incidentally isolated per hospital subdomain. Moving everyone to one zoeconnect.in origin removes that incidental isolation — not a security problem (JWT is still per-user/per-org), but worth a deliberate note rather than a silent side effect.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E2E fixtures (auth.setup.ts, global.setup.ts) actively simulate subdomain-based tenants and will need rework.</w:t>
      </w:r>
    </w:p>
    <w:p>
      <w:pPr>
        <w:pStyle w:val="Heading1"/>
        <w:spacing w:after="150" w:before="300"/>
      </w:pPr>
      <w:r>
        <w:t xml:space="preserve">3. Target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login surface: zoeconnect.in/login for every organization.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endpoint accepts { identifier, password }, identifier = username or email, case-insensitive, resolved with no Host/subdomain involvement.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username and email are globally unique (case-insensitive) at the database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carries organizationId (new claim, mirrors tenantId) plus the existing claims; authenticated requests never consult Host header for org context.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portal provisions an Organization; subdomain becomes an optional cosmetic slug, not an identity or login mechanism.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New, independent Organization Branch model: one default branch auto-created per organization at provisioning; Super Admin / Hospital Admin / Org Admin can create more; branch-scoped data rules apply per existing branch-scoping conventions. Used only when Oracle HIS is not connected. When HIS is connected, the existing HIS Branch entity/flow is used exactly as today, untouched.</w:t>
      </w:r>
    </w:p>
    <w:p>
      <w:pPr>
        <w:pStyle w:val="Heading1"/>
        <w:spacing w:after="150" w:before="300"/>
      </w:pPr>
      <w:r>
        <w:t xml:space="preserve">4. Phased Plan</w:t>
      </w:r>
    </w:p>
    <w:p>
      <w:pPr>
        <w:spacing w:after="120"/>
      </w:pPr>
      <w:r>
        <w:t xml:space="preserve">Each phase is a separate set of commits, ends with a compiling, test-passing application, and is summarized to you before the next phase begins. Flags follow the codebase's existing rollout convention (legacy/shadow/enforced-style env switches) so every step is reversible without a redeploy of code.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3300"/>
        <w:gridCol w:w="2100"/>
      </w:tblGrid>
      <w:tr>
        <w:tc>
          <w:tcPr>
            <w:tcW w:type="dxa" w:w="9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3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33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Compile-safety mechanism</w:t>
            </w:r>
          </w:p>
        </w:tc>
        <w:tc>
          <w:tcPr>
            <w:tcW w:type="dxa" w:w="2100"/>
            <w:shd w:fill="DDE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Repos touched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 + investigation (this document)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code changes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Additive schema: organization_branches table + backfill default branch per tenant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table/columns only, nothing dropped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gains organizationId claim (mirrors tenantId)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Additive claim, old claim untouched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accepts identifier (username or email), global lookup added behind flag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AUTH_IDENTITY_MODE=legacy|global flag, default legacy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uniqueness migration (username/email)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Dry-run validator must pass with zero conflicts before constraint migration runs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Host-header dependency for authenticated requests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TENANT_SCOPE_GUARD_MODE flipped to disabled last, guard code removed after a full release with it dark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 Branch CRUD + RBAC, default branch on provisioning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module, existing HIS Branch code untouched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portal provisioning: slug replaces subdomain-as-identity, availability checks flip to global username/email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fields kept nullable during transition; UI updated last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vendor-portal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identifier field, static login URL, session/store adjustments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Backward-compatible payload shape (send both fields during transition)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suite updates + e2e fixture rework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backend, vendor-portal, frontend</w:t>
            </w:r>
          </w:p>
        </w:tc>
      </w:tr>
    </w:tbl>
    <w:p>
      <w:pPr>
        <w:pStyle w:val="Heading2"/>
        <w:spacing w:after="120" w:before="240"/>
      </w:pPr>
      <w:r>
        <w:t xml:space="preserve">Phase 1 — Organization Branch foundation (additive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table organization_branches: id (uuid), tenant_id (FK → tenant.id), name, code, is_default (bool), status, created_at, updated_at. Unique (tenant_id, code).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 backfills exactly one default Organization Branch per existing tenant row (name derived from tenant name, e.g. “Main Branch”).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OrganizationBranch entity + module (list/create/update), guarded by a permission check (Super Admin / Hospital Admin / Org Admin roles — reuse existing RBAC permission framework, new permission key e.g. ORG_BRANCH_MANAGE).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TenantProvisioningService gains a new pipeline step create_default_org_branch, inserted after create_super_admin_user.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 Branch code (branch.service.ts, DEFAULT_BRANCH_ID usage inside HIS-integration paths) is not modified in this phase.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item for Phase 1: locate every non-HIS usage of DEFAULT_BRANCH_ID outside branch.service.ts (e.g. attendance/token flows that assign a fallback branch when HIS is absent) and redirect those specifically to the new default Organization Branch lookup. This requires a short additional grep/read pass before writing code — flagged as a Phase 1 sub-task rather than assumed.</w:t>
      </w:r>
    </w:p>
    <w:p>
      <w:pPr>
        <w:pStyle w:val="Heading2"/>
        <w:spacing w:after="120" w:before="240"/>
      </w:pPr>
      <w:r>
        <w:t xml:space="preserve">Phase 2 — JWT: add organizationId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organizationId to JwtPayload, populated with the same value as tenantId at token-generation time. Both claims present through the whole migration; nothing downstream breaks.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JwtStrategy validate() to expose organizationId on request.user alongside the existing fields.</w:t>
      </w:r>
    </w:p>
    <w:p>
      <w:pPr>
        <w:pStyle w:val="Heading2"/>
        <w:spacing w:after="120" w:before="240"/>
      </w:pPr>
      <w:r>
        <w:t xml:space="preserve">Phase 3 — Global identifier login (behind a flag)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LoginDto: add optional identifier field; keep username accepted for backward compatibility with any existing API callers/scripts. Controller resolves the value to check as identifier ?? username.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AUTH_IDENTITY_MODE env flag: legacy (today's tenant-scoped behavior, default) | global (new lookup: WHERE lower(username) = :id OR lower(email) = :id, no tenant filter). Ships dark, flips on only after Phase 4's data migration is verified clean in a given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phase deliberately does not yet touch TenantScopeGuard or SubdomainTenantMiddleware — login can resolve users globally while Host-based guards are still active elsewhere in read-only/log-only mode, so nothing else breaks mid-phase.</w:t>
      </w:r>
    </w:p>
    <w:p>
      <w:pPr>
        <w:pStyle w:val="Heading2"/>
        <w:spacing w:after="120" w:before="240"/>
      </w:pPr>
      <w:r>
        <w:t xml:space="preserve">Phase 4 — Global uniqueness migration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Ops script (dry run, no writes): groups active users by lower(username) and separately by lower(email) across all tenants, reports any group with count &gt; 1, including tenant names, so an admin can rename/merge before the real migration runs. Mirrors the pre-check pattern already used by migration 1783880000000, run in reverse.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 only proceeds if the dry run returns zero conflicts; otherwise it fails loudly, listing exactly what must be corrected — never silently reassigns or merges customer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clean: drop uq_users_tenant_username / uq_users_tenant_email, add functional unique indexes on lower(username) and lower(email) (case-insensitive global uniqueness). Same treatment for roles if still relevant, though role names are less likely to collide in a way that matters.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this migration lands and is verified in an environment, flip AUTH_IDENTITY_MODE to global there.</w:t>
      </w:r>
    </w:p>
    <w:p>
      <w:pPr>
        <w:pStyle w:val="Heading2"/>
        <w:spacing w:after="120" w:before="240"/>
      </w:pPr>
      <w:r>
        <w:t xml:space="preserve">Phase 5 — Remove Host-header dependency from authenticated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TenantScopeGuard: once AUTH_IDENTITY_MODE=global is live everywhere, its Host-vs-JWT cross-check has nothing meaningful left to enforce for user-authenticated routes. Set TENANT_SCOPE_GUARD_MODE to a new disabled value first (guard becomes a no-op but code stays), then remove the guard and its registration in a later commit once a full release cycle confirms nothing depended on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SubdomainTenantMiddleware / the Fastify onRequest hook in main.ts: keep operating for two narrower, explicitly-scoped cases that are not “authentication” in the spec's sense — (a) unauthenticated kiosk/device WebSocket connections in TokenGateway that identify themselves by physical location rather than user login, and (b) CORS origin matching for any deployments still using a subdomain cosmetically. Everything else that reads req.tenantId for authz decisions is repointed to request.user.organizationId. This split is called out explicitly for your review since “remove Host-header dependency entirely” and “kiosks aren't logged-in users” are in some tension — flagged rather than assumed.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 subdomain-matching logic in main.ts: relaxed to accept the single zoeconnect.in origin (plus any explicitly configured custom domains), no longer needs to resolve a tenant to validate an origin.</w:t>
      </w:r>
    </w:p>
    <w:p>
      <w:pPr>
        <w:pStyle w:val="Heading2"/>
        <w:spacing w:after="120" w:before="240"/>
      </w:pPr>
      <w:r>
        <w:t xml:space="preserve">Phase 6 — Vendor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ProvisionCloudTenantDto: subdomain becomes optional (renamed in the API surface to slug conceptually, field kept as subdomain in the DTO/DB to avoid a rename per your naming instruction, just no longer required or treated as identity).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checkHdspAvailability(): username/email checks become the hard-blocking checks (global uniqueness now real); subdomain check becomes advisory/cosmetic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CloudTenant.loginUrl: generation changes from https://&lt;subdomain&gt;.zoeconnect.in to a constant https://zoeconnect.in/login. Column kept (nullable) for historical records; new rows get the constant.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ProvisionDialog UI: replaces the per-tenant “Login URL” field with the constant login URL plus the admin's username/email as the credential to hand off.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deprovision / release-subdomain endpoints kept as-is (harmless no-ops or historical cleanup once subdomain is non-identity), not removed in this pass.</w:t>
      </w:r>
    </w:p>
    <w:p>
      <w:pPr>
        <w:pStyle w:val="Heading2"/>
        <w:spacing w:after="120" w:before="240"/>
      </w:pPr>
      <w:r>
        <w:t xml:space="preserve">Phase 7 — 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page: label changes to “Username or Email”, zod schema field renamed identifier, authApi.login() sends { identifier, password } (and, during the transition window, also username: identifier so any lagging backend still on legacy mode keeps working).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routing changes needed — investigation found no subdomain logic in frontend app code to remove.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 store / AuthProvider: no functional change required; note only (in code comments) that session isolation across organizations is now solely a function of the JWT's organizationId, not incidental per-origin sessionStorage.</w:t>
      </w:r>
    </w:p>
    <w:p>
      <w:pPr>
        <w:pStyle w:val="Heading2"/>
        <w:spacing w:after="120" w:before="240"/>
      </w:pPr>
      <w:r>
        <w:t xml:space="preserve">Phase 8 —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login-by-username, login-by-email, case-insensitivity, duplicate-detection dry-run script, JWT contains organizationId, org-branch creation RBAC, default-branch-on-provisioning, TenantScopeGuard no-op behavior.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portal: checkHdspAvailability blocking rules flip (first real tests for provision()/checkAvailability() — currently zero coverage per investigation).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Frontend/e2e: auth.setup.ts and global.setup.ts reworked to stop simulating subdomain-based tenants; add a case covering login by email.</w:t>
      </w:r>
    </w:p>
    <w:p>
      <w:pPr>
        <w:pStyle w:val="Heading1"/>
        <w:spacing w:after="150" w:before="300"/>
      </w:pPr>
      <w:r>
        <w:t xml:space="preserve">5. Open Items for Your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Kiosk/device Host-based resolution in TokenGateway — recommend keeping for non-authenticated device pairing only, as noted in Phase 5. Confirm this split is acceptable.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Non-HIS usages of DEFAULT_BRANCH_ID beyond branch.service.ts need a short dedicated audit at the start of Phase 1 before code is written there.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any customer-facing redirect is wanted from legacy *.zoeconnect.in URLs to the new shared login (not in the source spec, but a common real-world need during cutover) — out of scope unless you want it added.</w:t>
      </w:r>
    </w:p>
    <w:p>
      <w:pPr>
        <w:pStyle w:val="Heading1"/>
        <w:spacing w:after="150" w:before="300"/>
      </w:pPr>
      <w:r>
        <w:t xml:space="preserve">6. Sequencing &amp; Check-ins</w:t>
      </w:r>
    </w:p>
    <w:p>
      <w:pPr>
        <w:spacing w:after="120"/>
      </w:pPr>
      <w:r>
        <w:t xml:space="preserve">Work proceeds in the phase order above. After each phase: a build/compile check, relevant tests run, and a short summary posted before starting the next phase, per your instructions. No phase alters existing customer data without a passing dry-run validation step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2026-07-30T06:39:02.913Z</dcterms:created>
  <dcterms:modified xsi:type="dcterms:W3CDTF">2026-07-30T06:39:02.914Z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