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2E75B6"/>
          <w:sz w:val="30"/>
          <w:szCs w:val="30"/>
        </w:rPr>
        <w:t xml:space="preserve">HDSP</w:t>
      </w:r>
    </w:p>
    <w:p>
      <w:pPr>
        <w:spacing w:after="400"/>
        <w:jc w:val="center"/>
      </w:pPr>
      <w:r>
        <w:rPr>
          <w:b/>
          <w:bCs/>
          <w:color w:val="1F3864"/>
          <w:sz w:val="56"/>
          <w:szCs w:val="56"/>
        </w:rPr>
        <w:t xml:space="preserve">Dynamic Patient Form Builder</w:t>
      </w:r>
    </w:p>
    <w:p>
      <w:pPr>
        <w:spacing w:after="800"/>
        <w:jc w:val="center"/>
      </w:pPr>
      <w:r>
        <w:rPr>
          <w:sz w:val="28"/>
          <w:szCs w:val="28"/>
        </w:rPr>
        <w:t xml:space="preserve">Phase 1 — Product, Functional &amp; Non-Functional Requirements</w:t>
      </w:r>
    </w:p>
    <w:p>
      <w:pPr>
        <w:spacing w:after="100"/>
        <w:jc w:val="center"/>
      </w:pPr>
      <w:r>
        <w:rPr>
          <w:i/>
          <w:iCs/>
          <w:sz w:val="22"/>
          <w:szCs w:val="22"/>
        </w:rPr>
        <w:t xml:space="preserve">Document Version 1.0  |  Draft for Approval</w:t>
      </w:r>
    </w:p>
    <w:p>
      <w:pPr>
        <w:spacing w:after="100"/>
        <w:jc w:val="center"/>
      </w:pPr>
      <w:r>
        <w:rPr>
          <w:sz w:val="22"/>
          <w:szCs w:val="22"/>
        </w:rPr>
        <w:t xml:space="preserve">Prepared for: Hospital Digital Services Platform (HDSP)</w:t>
      </w:r>
    </w:p>
    <w:p>
      <w:pPr>
        <w:spacing w:after="100"/>
        <w:jc w:val="center"/>
      </w:pPr>
      <w:r>
        <w:rPr>
          <w:sz w:val="22"/>
          <w:szCs w:val="22"/>
        </w:rPr>
        <w:t xml:space="preserve">Date: 5 July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0. Architecture Baseline Note</w:t>
      </w:r>
    </w:p>
    <w:p>
      <w:pPr>
        <w:spacing w:after="160"/>
      </w:pPr>
      <w:r>
        <w:t xml:space="preserve">This requirements document targets the HDSP repository as it actually exists today, not the technology stack referenced in the original module brief. A repository audit was performed prior to writing this document (backend and frontend source, module folder structure, auth/RBAC implementation, audit logging, and migration history).</w:t>
      </w:r>
    </w:p>
    <w:p>
      <w:pPr>
        <w:pStyle w:val="Heading2"/>
      </w:pPr>
      <w:r>
        <w:t xml:space="preserve">0.1 Stack Correction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Layer</w:t>
            </w:r>
          </w:p>
        </w:tc>
        <w:tc>
          <w:tcPr>
            <w:tcW w:type="dxa" w:w="33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Brief assumed</w:t>
            </w:r>
          </w:p>
        </w:tc>
        <w:tc>
          <w:tcPr>
            <w:tcW w:type="dxa" w:w="34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Actual HDSP stack (verified)</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Frontend framework</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Angular 20 + Angular Material</w:t>
            </w:r>
          </w:p>
        </w:tc>
        <w:tc>
          <w:tcPr>
            <w:tcW w:type="dxa" w:w="34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Next.js 14 (React 18), App Router</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Frontend state/data</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RxJS</w:t>
            </w:r>
          </w:p>
        </w:tc>
        <w:tc>
          <w:tcPr>
            <w:tcW w:type="dxa" w:w="34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Zustand (state) + TanStack React Query (server cache)</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Frontend UI kit</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Angular Material</w:t>
            </w:r>
          </w:p>
        </w:tc>
        <w:tc>
          <w:tcPr>
            <w:tcW w:type="dxa" w:w="34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MUI (Material UI) v6</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Frontend forms</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w:t>
            </w:r>
          </w:p>
        </w:tc>
        <w:tc>
          <w:tcPr>
            <w:tcW w:type="dxa" w:w="34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react-hook-form + zod resolvers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Backend framework</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ASP.NET Core (.NET 9)</w:t>
            </w:r>
          </w:p>
        </w:tc>
        <w:tc>
          <w:tcPr>
            <w:tcW w:type="dxa" w:w="34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NestJS (TypeScript) on Fastify</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Backend pattern</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Clean Architecture + CQRS + MediatR</w:t>
            </w:r>
          </w:p>
        </w:tc>
        <w:tc>
          <w:tcPr>
            <w:tcW w:type="dxa" w:w="34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NestJS modules: Controller → Service → TypeORM Repository (no MediatR/CQRS bus in use)</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ORM</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Entity Framework Core</w:t>
            </w:r>
          </w:p>
        </w:tc>
        <w:tc>
          <w:tcPr>
            <w:tcW w:type="dxa" w:w="34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TypeORM (migrations, no synchronize)</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Database</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PostgreSQL</w:t>
            </w:r>
          </w:p>
        </w:tc>
        <w:tc>
          <w:tcPr>
            <w:tcW w:type="dxa" w:w="34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PostgreSQL — confirmed, no change</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Job/queue engine</w:t>
            </w:r>
          </w:p>
        </w:tc>
        <w:tc>
          <w:tcPr>
            <w:tcW w:type="dxa" w:w="33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w:t>
            </w:r>
          </w:p>
        </w:tc>
        <w:tc>
          <w:tcPr>
            <w:tcW w:type="dxa" w:w="34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BullMQ (Redis-backed) — used for audit logging, loyalty events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Auth</w:t>
            </w:r>
          </w:p>
        </w:tc>
        <w:tc>
          <w:tcPr>
            <w:tcW w:type="dxa" w:w="33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JWT + Refresh Tokens</w:t>
            </w:r>
          </w:p>
        </w:tc>
        <w:tc>
          <w:tcPr>
            <w:tcW w:type="dxa" w:w="34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JWT + refresh rotation + Redis blacklist — confirmed, no change</w:t>
            </w:r>
          </w:p>
        </w:tc>
      </w:tr>
    </w:tbl>
    <w:p>
      <w:pPr>
        <w:spacing w:after="160"/>
      </w:pPr>
      <w:r>
        <w:t xml:space="preserve"/>
      </w:r>
    </w:p>
    <w:p>
      <w:pPr>
        <w:spacing w:after="160"/>
      </w:pPr>
      <w:r>
        <w:rPr>
          <w:i/>
          <w:iCs/>
        </w:rPr>
        <w:t xml:space="preserve">All requirements, architecture, and API contracts in this document and in Phases 2–6 are written against the verified stack (Next.js / NestJS / TypeORM / PostgreSQL / Redis+BullMQ), following the same module conventions already used by the Loyalty, Attendance, RBAC, and Audit modules. Enterprise design patterns requested in the brief (Repository, Factory, Builder, Strategy, SOLID, clean separation of Builder vs Renderer) are preserved — they are simply implemented in idiomatic NestJS/TypeScript rather than literal MediatR/CQRS handlers, since introducing a second architectural style into one module of an otherwise consistent codebase would itself be a maintainability risk.</w:t>
      </w:r>
    </w:p>
    <w:p>
      <w:pPr>
        <w:pStyle w:val="Heading1"/>
      </w:pPr>
      <w:r>
        <w:t xml:space="preserve">1. Executive Summary</w:t>
      </w:r>
    </w:p>
    <w:p>
      <w:pPr>
        <w:spacing w:after="160"/>
      </w:pPr>
      <w:r>
        <w:t xml:space="preserve">The Dynamic Patient Form Builder (“Form Builder”) is a new HDSP module that lets non-technical hospital staff — administrators, quality teams, department heads — design, publish, and maintain clinical and administrative forms on an infinite visual canvas, without developer involvement. It targets the same class of problem solved by Power Apps, ServiceNow Form Builder, and Form.io Enterprise, adapted to a hospital's specific forms: registration, consent, nursing and ICU assessments, dental and orthopedic charting, discharge summaries, and fully custom internal forms.</w:t>
      </w:r>
    </w:p>
    <w:p>
      <w:pPr>
        <w:spacing w:after="160"/>
      </w:pPr>
      <w:r>
        <w:t xml:space="preserve">The module is built as a new NestJS backend module (dynamic-forms) and a new Next.js route group, following the exact conventions already established by the Loyalty and Attendance modules: TypeORM entities with UUID keys, JWT + RBAC guards, BullMQ for async work (PDF generation, audit writes), and the existing AuditService/AuditInterceptor for change tracking.</w:t>
      </w:r>
    </w:p>
    <w:p>
      <w:pPr>
        <w:spacing w:after="160"/>
      </w:pPr>
      <w:r>
        <w:t xml:space="preserve">The defining architectural rule is a hard separation between the Builder (produces versioned JSON Schema) and the Renderer (consumes JSON Schema to render a live form). Nothing in the product renders directly from the design canvas — the canvas only ever edits and previews a JSON document, which is what gets versioned, published, and rendered for actual patient/clinical use.</w:t>
      </w:r>
    </w:p>
    <w:p>
      <w:pPr>
        <w:pStyle w:val="Heading1"/>
      </w:pPr>
      <w:r>
        <w:t xml:space="preserve">2. Goals and Non-Goals</w:t>
      </w:r>
    </w:p>
    <w:p>
      <w:pPr>
        <w:pStyle w:val="Heading2"/>
      </w:pPr>
      <w:r>
        <w:t xml:space="preserve">2.1 Goals</w:t>
      </w:r>
    </w:p>
    <w:p>
      <w:pPr>
        <w:pStyle w:val="ListParagraph"/>
        <w:numPr>
          <w:ilvl w:val="0"/>
          <w:numId w:val="2"/>
        </w:numPr>
        <w:spacing w:after="60"/>
      </w:pPr>
      <w:r>
        <w:t xml:space="preserve">Let hospital admins build any patient-facing or clinical form via a visual, canvas-based designer — zero code.</w:t>
      </w:r>
    </w:p>
    <w:p>
      <w:pPr>
        <w:pStyle w:val="ListParagraph"/>
        <w:numPr>
          <w:ilvl w:val="0"/>
          <w:numId w:val="2"/>
        </w:numPr>
        <w:spacing w:after="60"/>
      </w:pPr>
      <w:r>
        <w:t xml:space="preserve">Support the full lifecycle of a form: draft → review → approve → publish → archive → retire, with versioning and rollback.</w:t>
      </w:r>
    </w:p>
    <w:p>
      <w:pPr>
        <w:pStyle w:val="ListParagraph"/>
        <w:numPr>
          <w:ilvl w:val="0"/>
          <w:numId w:val="2"/>
        </w:numPr>
        <w:spacing w:after="60"/>
      </w:pPr>
      <w:r>
        <w:t xml:space="preserve">Provide a component library broad enough to cover registration, consent, nursing/ICU assessment, dental, orthopedic, burn charting, and free-form internal hospital forms.</w:t>
      </w:r>
    </w:p>
    <w:p>
      <w:pPr>
        <w:pStyle w:val="ListParagraph"/>
        <w:numPr>
          <w:ilvl w:val="0"/>
          <w:numId w:val="2"/>
        </w:numPr>
        <w:spacing w:after="60"/>
      </w:pPr>
      <w:r>
        <w:t xml:space="preserve">Store every form as versioned JSON in PostgreSQL JSONB, with a Renderer that is 100% decoupled from the Builder.</w:t>
      </w:r>
    </w:p>
    <w:p>
      <w:pPr>
        <w:pStyle w:val="ListParagraph"/>
        <w:numPr>
          <w:ilvl w:val="0"/>
          <w:numId w:val="2"/>
        </w:numPr>
        <w:spacing w:after="60"/>
      </w:pPr>
      <w:r>
        <w:t xml:space="preserve">Integrate with existing HDSP identity (Patient, Visit, Doctor, Department, Admission) without duplicating master data.</w:t>
      </w:r>
    </w:p>
    <w:p>
      <w:pPr>
        <w:pStyle w:val="ListParagraph"/>
        <w:numPr>
          <w:ilvl w:val="0"/>
          <w:numId w:val="2"/>
        </w:numPr>
        <w:spacing w:after="60"/>
      </w:pPr>
      <w:r>
        <w:t xml:space="preserve">Reuse existing HDSP RBAC, JWT auth, and audit logging infrastructure rather than building parallel systems.</w:t>
      </w:r>
    </w:p>
    <w:p>
      <w:pPr>
        <w:pStyle w:val="ListParagraph"/>
        <w:numPr>
          <w:ilvl w:val="0"/>
          <w:numId w:val="2"/>
        </w:numPr>
        <w:spacing w:after="60"/>
      </w:pPr>
      <w:r>
        <w:t xml:space="preserve">Produce pixel-accurate PDF output of any submitted or blank form.</w:t>
      </w:r>
    </w:p>
    <w:p>
      <w:pPr>
        <w:pStyle w:val="Heading2"/>
      </w:pPr>
      <w:r>
        <w:t xml:space="preserve">2.2 Non-Goals (for this phase / v1)</w:t>
      </w:r>
    </w:p>
    <w:p>
      <w:pPr>
        <w:pStyle w:val="ListParagraph"/>
        <w:numPr>
          <w:ilvl w:val="0"/>
          <w:numId w:val="2"/>
        </w:numPr>
        <w:spacing w:after="60"/>
      </w:pPr>
      <w:r>
        <w:t xml:space="preserve">FHIR Questionnaire export/import — documented as a future-ready hook only, not built in v1.</w:t>
      </w:r>
    </w:p>
    <w:p>
      <w:pPr>
        <w:pStyle w:val="ListParagraph"/>
        <w:numPr>
          <w:ilvl w:val="0"/>
          <w:numId w:val="2"/>
        </w:numPr>
        <w:spacing w:after="60"/>
      </w:pPr>
      <w:r>
        <w:t xml:space="preserve">AI form generation from natural-language prompts and OCR-based paper-form import — architected for (extension points reserved) but not implemented in v1.</w:t>
      </w:r>
    </w:p>
    <w:p>
      <w:pPr>
        <w:pStyle w:val="ListParagraph"/>
        <w:numPr>
          <w:ilvl w:val="0"/>
          <w:numId w:val="2"/>
        </w:numPr>
        <w:spacing w:after="60"/>
      </w:pPr>
      <w:r>
        <w:t xml:space="preserve">Replacing Oracle HIS as a system of record — the module reads HIS-sourced master data read-only, as all HDSP modules already do; it does not write back to HIS.</w:t>
      </w:r>
    </w:p>
    <w:p>
      <w:pPr>
        <w:pStyle w:val="ListParagraph"/>
        <w:numPr>
          <w:ilvl w:val="0"/>
          <w:numId w:val="2"/>
        </w:numPr>
        <w:spacing w:after="60"/>
      </w:pPr>
      <w:r>
        <w:t xml:space="preserve">A generic no-code app builder — scope is patient/clinical forms specifically, not arbitrary business applications.</w:t>
      </w:r>
    </w:p>
    <w:p>
      <w:pPr>
        <w:pStyle w:val="Heading1"/>
      </w:pPr>
      <w:r>
        <w:t xml:space="preserve">3. Personas and RBAC Roles</w:t>
      </w:r>
    </w:p>
    <w:p>
      <w:pPr>
        <w:spacing w:after="160"/>
      </w:pPr>
      <w:r>
        <w:t xml:space="preserve">These map directly onto the existing HDSP role/permission model (module-scoped permission keys, e.g. FORMS:TEMPLATE:PUBLISH), not a new authorization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Persona</w:t>
            </w:r>
          </w:p>
        </w:tc>
        <w:tc>
          <w:tcPr>
            <w:tcW w:type="dxa" w:w="3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Primary Need</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Representative Permission Keys</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 Designer</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Build/edit form templates on the canvas</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FORMS:TEMPLATE:CREATE, FORMS:TEMPLATE:UPDATE</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Reviewer</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Review a submitted-for-review draft, request changes</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FORMS:TEMPLATE:REVIEW</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Publisher / Hospital Admin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Approve and publish a version; roll back</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FORMS:TEMPLATE:PUBLISH, FORMS:TEMPLATE:ROLLBACK</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Doctor / Nurse / Clinical User</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Fill, sign, and submit a published form for a patient/visit</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FORMS:SUBMISSION:CREATE, FORMS:SUBMISSION:SIGN</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Reception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Fill administrative/registration/consent forms</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FORMS:SUBMISSION:CREATE (registration category)</w:t>
            </w:r>
          </w:p>
        </w:tc>
      </w:tr>
      <w:tr>
        <w:tc>
          <w:tcPr>
            <w:tcW w:type="dxa" w:w="24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Read Only / Auditor</w:t>
            </w:r>
          </w:p>
        </w:tc>
        <w:tc>
          <w:tcPr>
            <w:tcW w:type="dxa" w:w="3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View submissions and history, no edit</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FORMS:SUBMISSION:READ, FORMS:AUDIT:READ</w:t>
            </w:r>
          </w:p>
        </w:tc>
      </w:tr>
      <w:tr>
        <w:tc>
          <w:tcPr>
            <w:tcW w:type="dxa" w:w="24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Super Admin</w:t>
            </w:r>
          </w:p>
        </w:tc>
        <w:tc>
          <w:tcPr>
            <w:tcW w:type="dxa" w:w="3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Full access across all branches/forms (bypasses field checks, as in existing RolesGuard)</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 implicit bypass, matches current SUPER_ADMIN behavior</w:t>
            </w:r>
          </w:p>
        </w:tc>
      </w:tr>
    </w:tbl>
    <w:p>
      <w:pPr>
        <w:pStyle w:val="Heading1"/>
      </w:pPr>
      <w:r>
        <w:t xml:space="preserve">4. Functional Requirements</w:t>
      </w:r>
    </w:p>
    <w:p>
      <w:pPr>
        <w:pStyle w:val="Heading2"/>
      </w:pPr>
      <w:r>
        <w:t xml:space="preserve">4.1 Canvas-Based Designer</w:t>
      </w:r>
    </w:p>
    <w:p>
      <w:pPr>
        <w:spacing w:after="160"/>
      </w:pPr>
      <w:r>
        <w:t xml:space="preserve">FR-CANVAS-01 through FR-CANVAS-20 (grouped by capability):</w:t>
      </w:r>
    </w:p>
    <w:p>
      <w:pPr>
        <w:pStyle w:val="Heading3"/>
      </w:pPr>
      <w:r>
        <w:t xml:space="preserve">Surface &amp; Navigation</w:t>
      </w:r>
    </w:p>
    <w:p>
      <w:pPr>
        <w:pStyle w:val="ListParagraph"/>
        <w:numPr>
          <w:ilvl w:val="0"/>
          <w:numId w:val="2"/>
        </w:numPr>
        <w:spacing w:after="60"/>
      </w:pPr>
      <w:r>
        <w:t xml:space="preserve">Infinite pannable/zoomable canvas; pages are fixed-size regions placed on the canvas, not the canvas itself.</w:t>
      </w:r>
    </w:p>
    <w:p>
      <w:pPr>
        <w:pStyle w:val="ListParagraph"/>
        <w:numPr>
          <w:ilvl w:val="0"/>
          <w:numId w:val="2"/>
        </w:numPr>
        <w:spacing w:after="60"/>
      </w:pPr>
      <w:r>
        <w:t xml:space="preserve">Zoom range 10%–400%, mouse-wheel + pinch zoom, fit-to-page and fit-to-width shortcuts.</w:t>
      </w:r>
    </w:p>
    <w:p>
      <w:pPr>
        <w:pStyle w:val="ListParagraph"/>
        <w:numPr>
          <w:ilvl w:val="0"/>
          <w:numId w:val="2"/>
        </w:numPr>
        <w:spacing w:after="60"/>
      </w:pPr>
      <w:r>
        <w:t xml:space="preserve">Snap-to-grid (configurable grid size, togglable), smart alignment guides (edge/center snapping between elements), smart spacing guides (equal-gap detection).</w:t>
      </w:r>
    </w:p>
    <w:p>
      <w:pPr>
        <w:pStyle w:val="ListParagraph"/>
        <w:numPr>
          <w:ilvl w:val="0"/>
          <w:numId w:val="2"/>
        </w:numPr>
        <w:spacing w:after="60"/>
      </w:pPr>
      <w:r>
        <w:t xml:space="preserve">Rulers with live measurement readout in mm/inches, matching the selected page size.</w:t>
      </w:r>
    </w:p>
    <w:p>
      <w:pPr>
        <w:pStyle w:val="ListParagraph"/>
        <w:numPr>
          <w:ilvl w:val="0"/>
          <w:numId w:val="2"/>
        </w:numPr>
        <w:spacing w:after="60"/>
      </w:pPr>
      <w:r>
        <w:t xml:space="preserve">Mini-map for jumping between distant pages on the same canvas.</w:t>
      </w:r>
    </w:p>
    <w:p>
      <w:pPr>
        <w:pStyle w:val="Heading3"/>
      </w:pPr>
      <w:r>
        <w:t xml:space="preserve">Selection, Editing, History</w:t>
      </w:r>
    </w:p>
    <w:p>
      <w:pPr>
        <w:pStyle w:val="ListParagraph"/>
        <w:numPr>
          <w:ilvl w:val="0"/>
          <w:numId w:val="2"/>
        </w:numPr>
        <w:spacing w:after="60"/>
      </w:pPr>
      <w:r>
        <w:t xml:space="preserve">Marquee (rectangle) multi-select, shift-click add/remove, group/ungroup, lock/hide per object or group.</w:t>
      </w:r>
    </w:p>
    <w:p>
      <w:pPr>
        <w:pStyle w:val="ListParagraph"/>
        <w:numPr>
          <w:ilvl w:val="0"/>
          <w:numId w:val="2"/>
        </w:numPr>
        <w:spacing w:after="60"/>
      </w:pPr>
      <w:r>
        <w:t xml:space="preserve">Z-order controls: bring to front, send to back, bring forward, send backward.</w:t>
      </w:r>
    </w:p>
    <w:p>
      <w:pPr>
        <w:pStyle w:val="ListParagraph"/>
        <w:numPr>
          <w:ilvl w:val="0"/>
          <w:numId w:val="2"/>
        </w:numPr>
        <w:spacing w:after="60"/>
      </w:pPr>
      <w:r>
        <w:t xml:space="preserve">Copy/paste/duplicate within and across pages; keyboard shortcuts matching common design-tool conventions (Figma-style).</w:t>
      </w:r>
    </w:p>
    <w:p>
      <w:pPr>
        <w:pStyle w:val="ListParagraph"/>
        <w:numPr>
          <w:ilvl w:val="0"/>
          <w:numId w:val="2"/>
        </w:numPr>
        <w:spacing w:after="60"/>
      </w:pPr>
      <w:r>
        <w:t xml:space="preserve">Full undo/redo history for the active editing session, plus a persisted change history tied to form versions (see §4.5).</w:t>
      </w:r>
    </w:p>
    <w:p>
      <w:pPr>
        <w:pStyle w:val="ListParagraph"/>
        <w:numPr>
          <w:ilvl w:val="0"/>
          <w:numId w:val="2"/>
        </w:numPr>
        <w:spacing w:after="60"/>
      </w:pPr>
      <w:r>
        <w:t xml:space="preserve">Layer panel reflecting z-order and grouping, with rename/lock/hide/select-by-click.</w:t>
      </w:r>
    </w:p>
    <w:p>
      <w:pPr>
        <w:pStyle w:val="Heading3"/>
      </w:pPr>
      <w:r>
        <w:t xml:space="preserve">Pages</w:t>
      </w:r>
    </w:p>
    <w:p>
      <w:pPr>
        <w:pStyle w:val="ListParagraph"/>
        <w:numPr>
          <w:ilvl w:val="0"/>
          <w:numId w:val="2"/>
        </w:numPr>
        <w:spacing w:after="60"/>
      </w:pPr>
      <w:r>
        <w:t xml:space="preserve">Page sizes: A4, A5, Letter, Legal, and Custom (width/height in mm or inches); portrait or landscape.</w:t>
      </w:r>
    </w:p>
    <w:p>
      <w:pPr>
        <w:pStyle w:val="ListParagraph"/>
        <w:numPr>
          <w:ilvl w:val="0"/>
          <w:numId w:val="2"/>
        </w:numPr>
        <w:spacing w:after="60"/>
      </w:pPr>
      <w:r>
        <w:t xml:space="preserve">Unlimited pages per form; add, duplicate, delete, reorder (drag), and save-as-template.</w:t>
      </w:r>
    </w:p>
    <w:p>
      <w:pPr>
        <w:pStyle w:val="ListParagraph"/>
        <w:numPr>
          <w:ilvl w:val="0"/>
          <w:numId w:val="2"/>
        </w:numPr>
        <w:spacing w:after="60"/>
      </w:pPr>
      <w:r>
        <w:t xml:space="preserve">Per-page header, footer, watermark, background color/image, margins, and page numbering; can inherit from a form-level default or override per page.</w:t>
      </w:r>
    </w:p>
    <w:p>
      <w:pPr>
        <w:pStyle w:val="Heading2"/>
      </w:pPr>
      <w:r>
        <w:t xml:space="preserve">4.2 Component Library</w:t>
      </w:r>
    </w:p>
    <w:p>
      <w:pPr>
        <w:spacing w:after="160"/>
      </w:pPr>
      <w:r>
        <w:t xml:space="preserve">Every component in the list below is a first-class entry in the JSON Schema component registry (see §6). Components are grouped for the property panel and palette search, not as separate rendering engines.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Group</w:t>
            </w:r>
          </w:p>
        </w:tc>
        <w:tc>
          <w:tcPr>
            <w:tcW w:type="dxa" w:w="71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Components</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Basic / Static</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Label, Heading, Paragraph, Rich Text, Divider, Line (H/V), Rectangle, Circle, Shape, Icon, Image, Logo, QR Code, Barcode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Input Controls</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Textbox, Text Area, Number, Decimal, Currency, Percentage, Email, Phone, Mobile, Password, Date, Time, DateTime, Dropdown, Multi-Select, Radio, Checkbox, Toggle, Slider, Rating, Signature, Digital Signature, Camera Capture, File/Image/Video/Audio Upload</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Medical Diagrams</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Body Diagram, Burn Assessment Diagram, Dental Chart, Eye Chart, Ear Diagram, Orthopedic Diagram, Pregnancy Diagram, Skin Diagram, generic SVG Anatomy Diagram (annotatable: draw, highlight, circle, arrow, pin, freehand, notes — all persisted as vector overlay data, never flattened to an image)</w:t>
            </w:r>
          </w:p>
        </w:tc>
      </w:tr>
      <w:tr>
        <w:tc>
          <w:tcPr>
            <w:tcW w:type="dxa" w:w="2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Tables</w:t>
            </w:r>
          </w:p>
        </w:tc>
        <w:tc>
          <w:tcPr>
            <w:tcW w:type="dxa" w:w="71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Static Table, Dynamic/Repeatable Table (rows and/or columns), Nested Table, Expandable Rows, Merged Cells, Calculated Cells, Cell Coloring, and three pre-built medical table presets: Observation Chart, Prescription Table, Investigation/Lab Table</w:t>
            </w:r>
          </w:p>
        </w:tc>
      </w:tr>
      <w:tr>
        <w:tc>
          <w:tcPr>
            <w:tcW w:type="dxa" w:w="2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Layout</w:t>
            </w:r>
          </w:p>
        </w:tc>
        <w:tc>
          <w:tcPr>
            <w:tcW w:type="dxa" w:w="71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Card, Container, Panel, Tabs, Accordion, Wizard (multi-step), Column Layout, Section, Repeating Section, Conditional Section</w:t>
            </w:r>
          </w:p>
        </w:tc>
      </w:tr>
    </w:tbl>
    <w:p>
      <w:pPr>
        <w:spacing w:after="160"/>
      </w:pPr>
      <w:r>
        <w:t xml:space="preserve"/>
      </w:r>
    </w:p>
    <w:p>
      <w:pPr>
        <w:spacing w:after="160"/>
      </w:pPr>
      <w:r>
        <w:t xml:space="preserve">FR-COMP-05: All medical diagrams are SVG-based with a defined “hotspot”/region schema so that annotations (e.g., a burn percentage on a body region) can be queried structurally, not just rendered visually — this is required for later reporting/analytics, not just display.</w:t>
      </w:r>
    </w:p>
    <w:p>
      <w:pPr>
        <w:pStyle w:val="Heading2"/>
      </w:pPr>
      <w:r>
        <w:t xml:space="preserve">4.3 Property Panel</w:t>
      </w:r>
    </w:p>
    <w:p>
      <w:pPr>
        <w:spacing w:after="160"/>
      </w:pPr>
      <w:r>
        <w:t xml:space="preserve">Every placed component exposes a property panel with the following tabs; not all tabs apply to every component type (e.g., Validation is hidden for a static Label):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Tab</w:t>
            </w:r>
          </w:p>
        </w:tc>
        <w:tc>
          <w:tcPr>
            <w:tcW w:type="dxa" w:w="7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Contents</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General</w:t>
            </w:r>
          </w:p>
        </w:tc>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Field key, label, help text, placeholder, tooltip, default value</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Appearance</w:t>
            </w:r>
          </w:p>
        </w:tc>
        <w:tc>
          <w:tcPr>
            <w:tcW w:type="dxa" w:w="7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Size, position, font, color, borders, spacing, alignment, CSS class override</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Validation</w:t>
            </w:r>
          </w:p>
        </w:tc>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Required, regex, min/max/range, date rules, cross-field rules, async validation hook</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Logic</w:t>
            </w:r>
          </w:p>
        </w:tc>
        <w:tc>
          <w:tcPr>
            <w:tcW w:type="dxa" w:w="7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Visibility, required-if, read-only-if, enable/disable, calculated value formula</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Events</w:t>
            </w:r>
          </w:p>
        </w:tc>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onChange / onBlur / onFocus hooks that can trigger logic rules or data-source calls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Data Binding</w:t>
            </w:r>
          </w:p>
        </w:tc>
        <w:tc>
          <w:tcPr>
            <w:tcW w:type="dxa" w:w="7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Bind to Patient / Visit / Encounter / Doctor / Department / Admission / Insurance / Hospital / Appointment / User / external API / custom source</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Accessibility</w:t>
            </w:r>
          </w:p>
        </w:tc>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ARIA label/role override, tab order, screen-reader description</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Permissions</w:t>
            </w:r>
          </w:p>
        </w:tc>
        <w:tc>
          <w:tcPr>
            <w:tcW w:type="dxa" w:w="7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Field-level visibility/edit permission by role (draws from the same RBAC permission keys as the rest of HDSP)</w:t>
            </w:r>
          </w:p>
        </w:tc>
      </w:tr>
      <w:tr>
        <w:tc>
          <w:tcPr>
            <w:tcW w:type="dxa" w:w="20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Audit</w:t>
            </w:r>
          </w:p>
        </w:tc>
        <w:tc>
          <w:tcPr>
            <w:tcW w:type="dxa" w:w="7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Whether changes to this field are individually tracked (default: yes for all clinical fields)</w:t>
            </w:r>
          </w:p>
        </w:tc>
      </w:tr>
      <w:tr>
        <w:tc>
          <w:tcPr>
            <w:tcW w:type="dxa" w:w="20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Advanced</w:t>
            </w:r>
          </w:p>
        </w:tc>
        <w:tc>
          <w:tcPr>
            <w:tcW w:type="dxa" w:w="7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Raw JSON override for the component's schema node (for power users / support)</w:t>
            </w:r>
          </w:p>
        </w:tc>
      </w:tr>
    </w:tbl>
    <w:p>
      <w:pPr>
        <w:pStyle w:val="Heading2"/>
      </w:pPr>
      <w:r>
        <w:t xml:space="preserve">4.4 Rule Engine and Validation</w:t>
      </w:r>
    </w:p>
    <w:p>
      <w:pPr>
        <w:pStyle w:val="ListParagraph"/>
        <w:numPr>
          <w:ilvl w:val="0"/>
          <w:numId w:val="2"/>
        </w:numPr>
        <w:spacing w:after="60"/>
      </w:pPr>
      <w:r>
        <w:t xml:space="preserve">Logical operators: IF / ELSE / SWITCH / CASE, evaluated against the current form's live values.</w:t>
      </w:r>
    </w:p>
    <w:p>
      <w:pPr>
        <w:pStyle w:val="ListParagraph"/>
        <w:numPr>
          <w:ilvl w:val="0"/>
          <w:numId w:val="2"/>
        </w:numPr>
        <w:spacing w:after="60"/>
      </w:pPr>
      <w:r>
        <w:t xml:space="preserve">Aggregate functions: SUM, AVG, MIN, MAX, COUNT over repeating rows/sections.</w:t>
      </w:r>
    </w:p>
    <w:p>
      <w:pPr>
        <w:pStyle w:val="ListParagraph"/>
        <w:numPr>
          <w:ilvl w:val="0"/>
          <w:numId w:val="2"/>
        </w:numPr>
        <w:spacing w:after="60"/>
      </w:pPr>
      <w:r>
        <w:t xml:space="preserve">Date functions (age from DOB, date diff, add/subtract interval) and string functions (concat, substring, format, case).</w:t>
      </w:r>
    </w:p>
    <w:p>
      <w:pPr>
        <w:pStyle w:val="ListParagraph"/>
        <w:numPr>
          <w:ilvl w:val="0"/>
          <w:numId w:val="2"/>
        </w:numPr>
        <w:spacing w:after="60"/>
      </w:pPr>
      <w:r>
        <w:t xml:space="preserve">Lookups against bound data sources (e.g., look up Department name from a selected Department ID).</w:t>
      </w:r>
    </w:p>
    <w:p>
      <w:pPr>
        <w:pStyle w:val="ListParagraph"/>
        <w:numPr>
          <w:ilvl w:val="0"/>
          <w:numId w:val="2"/>
        </w:numPr>
        <w:spacing w:after="60"/>
      </w:pPr>
      <w:r>
        <w:t xml:space="preserve">Conditional visibility, conditional required, conditional read-only/enable-disable, and calculated (derived, non-editable) fields.</w:t>
      </w:r>
    </w:p>
    <w:p>
      <w:pPr>
        <w:pStyle w:val="ListParagraph"/>
        <w:numPr>
          <w:ilvl w:val="0"/>
          <w:numId w:val="2"/>
        </w:numPr>
        <w:spacing w:after="60"/>
      </w:pPr>
      <w:r>
        <w:t xml:space="preserve">Validation: required, regex, numeric/date range, cross-field comparisons (e.g., “discharge date ≥ admission date”), and async validation calling a backend endpoint (e.g., duplicate MRN check).</w:t>
      </w:r>
    </w:p>
    <w:p>
      <w:pPr>
        <w:pStyle w:val="ListParagraph"/>
        <w:numPr>
          <w:ilvl w:val="0"/>
          <w:numId w:val="2"/>
        </w:numPr>
        <w:spacing w:after="60"/>
      </w:pPr>
      <w:r>
        <w:t xml:space="preserve">Rules are stored as structured JSON (an expression tree), never as executable free-text script — this is a deliberate security and portability constraint (see §8.3).</w:t>
      </w:r>
    </w:p>
    <w:p>
      <w:pPr>
        <w:pStyle w:val="Heading2"/>
      </w:pPr>
      <w:r>
        <w:t xml:space="preserve">4.5 Versioning and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State</w:t>
            </w:r>
          </w:p>
        </w:tc>
        <w:tc>
          <w:tcPr>
            <w:tcW w:type="dxa" w:w="4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Meaning</w:t>
            </w:r>
          </w:p>
        </w:tc>
        <w:tc>
          <w:tcPr>
            <w:tcW w:type="dxa" w:w="29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Who can transition</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Draft</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Actively edited on the canvas; not usable for submissions</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Designer</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In Review</w:t>
            </w:r>
          </w:p>
        </w:tc>
        <w:tc>
          <w:tcPr>
            <w:tcW w:type="dxa" w:w="4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Submitted for review; canvas becomes read-only for the submitting designer</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Designer → Reviewer</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Approved</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Reviewer signed off; awaiting publish</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Reviewer → Publisher</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Published</w:t>
            </w:r>
          </w:p>
        </w:tc>
        <w:tc>
          <w:tcPr>
            <w:tcW w:type="dxa" w:w="4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Live version; usable for new form submissions</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Publisher</w:t>
            </w:r>
          </w:p>
        </w:tc>
      </w:tr>
      <w:tr>
        <w:tc>
          <w:tcPr>
            <w:tcW w:type="dxa" w:w="1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Archived</w:t>
            </w:r>
          </w:p>
        </w:tc>
        <w:tc>
          <w:tcPr>
            <w:tcW w:type="dxa" w:w="4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Superseded by a newer published version; existing submissions remain readable against this version</w:t>
            </w:r>
          </w:p>
        </w:tc>
        <w:tc>
          <w:tcPr>
            <w:tcW w:type="dxa" w:w="29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Publisher / Admin</w:t>
            </w:r>
          </w:p>
        </w:tc>
      </w:tr>
      <w:tr>
        <w:tc>
          <w:tcPr>
            <w:tcW w:type="dxa" w:w="1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Retired</w:t>
            </w:r>
          </w:p>
        </w:tc>
        <w:tc>
          <w:tcPr>
            <w:tcW w:type="dxa" w:w="4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No longer usable even for viewing old submissions in edit mode (read-only historical record only)</w:t>
            </w:r>
          </w:p>
        </w:tc>
        <w:tc>
          <w:tcPr>
            <w:tcW w:type="dxa" w:w="29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Hospital Admin</w:t>
            </w:r>
          </w:p>
        </w:tc>
      </w:tr>
    </w:tbl>
    <w:p>
      <w:pPr>
        <w:spacing w:after="160"/>
      </w:pPr>
      <w:r>
        <w:t xml:space="preserve"/>
      </w:r>
    </w:p>
    <w:p>
      <w:pPr>
        <w:pStyle w:val="ListParagraph"/>
        <w:numPr>
          <w:ilvl w:val="0"/>
          <w:numId w:val="2"/>
        </w:numPr>
        <w:spacing w:after="60"/>
      </w:pPr>
      <w:r>
        <w:t xml:space="preserve">Every publish creates a new immutable version row; a form template can have many versions, exactly one of which is “currently published” per branch/hospital at a time.</w:t>
      </w:r>
    </w:p>
    <w:p>
      <w:pPr>
        <w:pStyle w:val="ListParagraph"/>
        <w:numPr>
          <w:ilvl w:val="0"/>
          <w:numId w:val="2"/>
        </w:numPr>
        <w:spacing w:after="60"/>
      </w:pPr>
      <w:r>
        <w:t xml:space="preserve">Clone-to-new-draft from any historical version; side-by-side version compare (structural diff of the JSON schema); one-click rollback (which itself creates a new version pointing at the old schema, preserving full history — never a destructive revert).</w:t>
      </w:r>
    </w:p>
    <w:p>
      <w:pPr>
        <w:pStyle w:val="ListParagraph"/>
        <w:numPr>
          <w:ilvl w:val="0"/>
          <w:numId w:val="2"/>
        </w:numPr>
        <w:spacing w:after="60"/>
      </w:pPr>
      <w:r>
        <w:t xml:space="preserve">A template library of pre-built starter forms (Registration, Consent, Nursing Assessment, etc.) ships with the module and is itself just seeded published templates.</w:t>
      </w:r>
    </w:p>
    <w:p>
      <w:pPr>
        <w:pStyle w:val="Heading2"/>
      </w:pPr>
      <w:r>
        <w:t xml:space="preserve">4.6 Data Binding and Integration</w:t>
      </w:r>
    </w:p>
    <w:p>
      <w:pPr>
        <w:pStyle w:val="ListParagraph"/>
        <w:numPr>
          <w:ilvl w:val="0"/>
          <w:numId w:val="2"/>
        </w:numPr>
        <w:spacing w:after="60"/>
      </w:pPr>
      <w:r>
        <w:t xml:space="preserve">Bindable entities: Patient, Visit, Encounter, Doctor, Department, Admission, Insurance, Hospital, Appointment, User — sourced from existing HDSP modules/Oracle HIS read-only sync, not duplicated.</w:t>
      </w:r>
    </w:p>
    <w:p>
      <w:pPr>
        <w:pStyle w:val="ListParagraph"/>
        <w:numPr>
          <w:ilvl w:val="0"/>
          <w:numId w:val="2"/>
        </w:numPr>
        <w:spacing w:after="60"/>
      </w:pPr>
      <w:r>
        <w:t xml:space="preserve">Custom data sources: named, admin-configured REST endpoints (internal or external) with response field mapping, used for dropdown population and lookups.</w:t>
      </w:r>
    </w:p>
    <w:p>
      <w:pPr>
        <w:pStyle w:val="ListParagraph"/>
        <w:numPr>
          <w:ilvl w:val="0"/>
          <w:numId w:val="2"/>
        </w:numPr>
        <w:spacing w:after="60"/>
      </w:pPr>
      <w:r>
        <w:t xml:space="preserve">Bindings are declarative in the JSON Schema (entity + field path); the Renderer resolves them at render time via a small set of backend “data provider” endpoints — the Builder never talks to Patient/HIS data directly.</w:t>
      </w:r>
    </w:p>
    <w:p>
      <w:pPr>
        <w:pStyle w:val="Heading2"/>
      </w:pPr>
      <w:r>
        <w:t xml:space="preserve">4.7 PDF, Import, Export</w:t>
      </w:r>
    </w:p>
    <w:p>
      <w:pPr>
        <w:pStyle w:val="ListParagraph"/>
        <w:numPr>
          <w:ilvl w:val="0"/>
          <w:numId w:val="2"/>
        </w:numPr>
        <w:spacing w:after="60"/>
      </w:pPr>
      <w:r>
        <w:t xml:space="preserve">Generate a pixel-accurate PDF of a blank form (for printing) or a filled submission, honoring per-page headers/footers/watermarks/page numbers exactly as designed.</w:t>
      </w:r>
    </w:p>
    <w:p>
      <w:pPr>
        <w:pStyle w:val="ListParagraph"/>
        <w:numPr>
          <w:ilvl w:val="0"/>
          <w:numId w:val="2"/>
        </w:numPr>
        <w:spacing w:after="60"/>
      </w:pPr>
      <w:r>
        <w:t xml:space="preserve">Export: JSON (full schema), PDF, CSV (submission data, tabular flatten of a form's fields).</w:t>
      </w:r>
    </w:p>
    <w:p>
      <w:pPr>
        <w:pStyle w:val="ListParagraph"/>
        <w:numPr>
          <w:ilvl w:val="0"/>
          <w:numId w:val="2"/>
        </w:numPr>
        <w:spacing w:after="60"/>
      </w:pPr>
      <w:r>
        <w:t xml:space="preserve">Import: JSON (schema or template restore). Existing-template import from the seeded library.</w:t>
      </w:r>
    </w:p>
    <w:p>
      <w:pPr>
        <w:pStyle w:val="ListParagraph"/>
        <w:numPr>
          <w:ilvl w:val="0"/>
          <w:numId w:val="2"/>
        </w:numPr>
        <w:spacing w:after="60"/>
      </w:pPr>
      <w:r>
        <w:t xml:space="preserve">Reserved, not built in v1: FHIR Questionnaire export, OCR-based scanned-form import — the JSON Schema and API are designed so these can be added as new import/export adapters without schema changes (see §6.4 and §9).</w:t>
      </w:r>
    </w:p>
    <w:p>
      <w:pPr>
        <w:pStyle w:val="Heading1"/>
      </w:pPr>
      <w:r>
        <w:t xml:space="preserve">5. Non-Functional Requirements</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00"/>
        <w:gridCol w:w="4660"/>
      </w:tblGrid>
      <w:tr>
        <w:trPr>
          <w:tblHeader/>
        </w:trPr>
        <w:tc>
          <w:tcPr>
            <w:tcW w:type="dxa" w:w="47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Requirement</w:t>
            </w:r>
          </w:p>
        </w:tc>
        <w:tc>
          <w:tcPr>
            <w:tcW w:type="dxa" w:w="46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Target</w:t>
            </w:r>
          </w:p>
        </w:tc>
      </w:tr>
      <w:tr>
        <w:tc>
          <w:tcPr>
            <w:tcW w:type="dxa" w:w="4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 template size</w:t>
            </w:r>
          </w:p>
        </w:tc>
        <w:tc>
          <w:tcPr>
            <w:tcW w:type="dxa" w:w="4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Support 100+ page forms and several thousand components per template without designer lag</w:t>
            </w:r>
          </w:p>
        </w:tc>
      </w:tr>
      <w:tr>
        <w:tc>
          <w:tcPr>
            <w:tcW w:type="dxa" w:w="4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Canvas rendering</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Virtualized rendering — only in-viewport pages/components are mounted in the DOM</w:t>
            </w:r>
          </w:p>
        </w:tc>
      </w:tr>
      <w:tr>
        <w:tc>
          <w:tcPr>
            <w:tcW w:type="dxa" w:w="4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Autosave</w:t>
            </w:r>
          </w:p>
        </w:tc>
        <w:tc>
          <w:tcPr>
            <w:tcW w:type="dxa" w:w="4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Background autosave of draft edits every 10–15s of inactivity, debounced, non-blocking</w:t>
            </w:r>
          </w:p>
        </w:tc>
      </w:tr>
      <w:tr>
        <w:tc>
          <w:tcPr>
            <w:tcW w:type="dxa" w:w="47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Renderer load</w:t>
            </w:r>
          </w:p>
        </w:tc>
        <w:tc>
          <w:tcPr>
            <w:tcW w:type="dxa" w:w="46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A published form with 200 fields must be interactive in the browser in under 2s on a typical hospital LAN</w:t>
            </w:r>
          </w:p>
        </w:tc>
      </w:tr>
      <w:tr>
        <w:tc>
          <w:tcPr>
            <w:tcW w:type="dxa" w:w="47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PDF generation</w:t>
            </w:r>
          </w:p>
        </w:tc>
        <w:tc>
          <w:tcPr>
            <w:tcW w:type="dxa" w:w="46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Under 5s for a 10-page filled submission (async job via BullMQ for anything larger, with status polling)</w:t>
            </w:r>
          </w:p>
        </w:tc>
      </w:tr>
    </w:tbl>
    <w:p>
      <w:pPr>
        <w:pStyle w:val="Heading2"/>
      </w:pPr>
      <w:r>
        <w:t xml:space="preserve">5.2 Accessibility</w:t>
      </w:r>
    </w:p>
    <w:p>
      <w:pPr>
        <w:pStyle w:val="ListParagraph"/>
        <w:numPr>
          <w:ilvl w:val="0"/>
          <w:numId w:val="2"/>
        </w:numPr>
        <w:spacing w:after="60"/>
      </w:pPr>
      <w:r>
        <w:t xml:space="preserve">WCAG 2.2 AA conformance for the Renderer (form-filling experience) as the primary target; the Designer canvas itself targets AA where feasible given its inherently visual/spatial nature.</w:t>
      </w:r>
    </w:p>
    <w:p>
      <w:pPr>
        <w:pStyle w:val="ListParagraph"/>
        <w:numPr>
          <w:ilvl w:val="0"/>
          <w:numId w:val="2"/>
        </w:numPr>
        <w:spacing w:after="60"/>
      </w:pPr>
      <w:r>
        <w:t xml:space="preserve">Full keyboard navigation and operability, screen reader support via ARIA roles/labels configured per-component in the property panel, visible focus indicators, high-contrast mode, and accessible error/validation messaging.</w:t>
      </w:r>
    </w:p>
    <w:p>
      <w:pPr>
        <w:pStyle w:val="Heading2"/>
      </w:pPr>
      <w:r>
        <w:t xml:space="preserve">5.3 Security &amp; Compliance</w:t>
      </w:r>
    </w:p>
    <w:p>
      <w:pPr>
        <w:pStyle w:val="ListParagraph"/>
        <w:numPr>
          <w:ilvl w:val="0"/>
          <w:numId w:val="2"/>
        </w:numPr>
        <w:spacing w:after="60"/>
      </w:pPr>
      <w:r>
        <w:t xml:space="preserve">HIPAA- and GDPR-ready handling of patient data captured through forms: encryption at rest (PostgreSQL-level) and in transit (TLS), field-level permission enforcement, and full audit trails via the existing AuditService.</w:t>
      </w:r>
    </w:p>
    <w:p>
      <w:pPr>
        <w:pStyle w:val="ListParagraph"/>
        <w:numPr>
          <w:ilvl w:val="0"/>
          <w:numId w:val="2"/>
        </w:numPr>
        <w:spacing w:after="60"/>
      </w:pPr>
      <w:r>
        <w:t xml:space="preserve">Reuses existing JWT + refresh-token + Redis-blacklist auth and the existing RolesGuard/PermissionsGuard — no parallel auth system.</w:t>
      </w:r>
    </w:p>
    <w:p>
      <w:pPr>
        <w:pStyle w:val="ListParagraph"/>
        <w:numPr>
          <w:ilvl w:val="0"/>
          <w:numId w:val="2"/>
        </w:numPr>
        <w:spacing w:after="60"/>
      </w:pPr>
      <w:r>
        <w:t xml:space="preserve">Input sanitization on all rich text/HTML-capable fields; CSRF and XSS protections consistent with existing HDSP middleware; rule/formula engine is data-only (JSON expression tree), never evaluates arbitrary user-authored code, eliminating a major injection surface.</w:t>
      </w:r>
    </w:p>
    <w:p>
      <w:pPr>
        <w:pStyle w:val="ListParagraph"/>
        <w:numPr>
          <w:ilvl w:val="0"/>
          <w:numId w:val="2"/>
        </w:numPr>
        <w:spacing w:after="60"/>
      </w:pPr>
      <w:r>
        <w:t xml:space="preserve">Field-level and section-level permission enforcement at both render time (hide/disable) and submit time (server-side re-validation — the client-side rule engine is never trusted alone).</w:t>
      </w:r>
    </w:p>
    <w:p>
      <w:pPr>
        <w:pStyle w:val="Heading2"/>
      </w:pPr>
      <w:r>
        <w:t xml:space="preserve">5.4 Auditability</w:t>
      </w:r>
    </w:p>
    <w:p>
      <w:pPr>
        <w:pStyle w:val="ListParagraph"/>
        <w:numPr>
          <w:ilvl w:val="0"/>
          <w:numId w:val="2"/>
        </w:numPr>
        <w:spacing w:after="60"/>
      </w:pPr>
      <w:r>
        <w:t xml:space="preserve">Every template change (create, edit, publish, rollback, archive, retire) and every submission change is audit-logged via the existing AuditService/@Audit decorator convention: who, what, when, old value, new value, IP address, user agent, request ID.</w:t>
      </w:r>
    </w:p>
    <w:p>
      <w:pPr>
        <w:pStyle w:val="ListParagraph"/>
        <w:numPr>
          <w:ilvl w:val="0"/>
          <w:numId w:val="2"/>
        </w:numPr>
        <w:spacing w:after="60"/>
      </w:pPr>
      <w:r>
        <w:t xml:space="preserve">Template-level audit is schema-diff based (structural change, not raw JSON blob diff) so reviewers can see “added field X” rather than an unreadable JSON delta.</w:t>
      </w:r>
    </w:p>
    <w:p>
      <w:pPr>
        <w:pStyle w:val="Heading2"/>
      </w:pPr>
      <w:r>
        <w:t xml:space="preserve">5.5 Reliability &amp; Data Integrity</w:t>
      </w:r>
    </w:p>
    <w:p>
      <w:pPr>
        <w:pStyle w:val="ListParagraph"/>
        <w:numPr>
          <w:ilvl w:val="0"/>
          <w:numId w:val="2"/>
        </w:numPr>
        <w:spacing w:after="60"/>
      </w:pPr>
      <w:r>
        <w:t xml:space="preserve">Optimistic concurrency on template edits (version/row check) to prevent silent overwrite when two designers edit concurrently — conflict surfaces as a merge/compare prompt, not a crash.</w:t>
      </w:r>
    </w:p>
    <w:p>
      <w:pPr>
        <w:pStyle w:val="ListParagraph"/>
        <w:numPr>
          <w:ilvl w:val="0"/>
          <w:numId w:val="2"/>
        </w:numPr>
        <w:spacing w:after="60"/>
      </w:pPr>
      <w:r>
        <w:t xml:space="preserve">All multi-step operations (e.g., publish, which touches template + version + submission-visibility state) run inside a database transaction.</w:t>
      </w:r>
    </w:p>
    <w:p>
      <w:pPr>
        <w:pStyle w:val="ListParagraph"/>
        <w:numPr>
          <w:ilvl w:val="0"/>
          <w:numId w:val="2"/>
        </w:numPr>
        <w:spacing w:after="60"/>
      </w:pPr>
      <w:r>
        <w:t xml:space="preserve">PostgreSQL JSONB storage with GIN indexes for schema search and generated columns for frequently-filtered fields (e.g., category, status) to keep query performance predictable as the template/submission count grows.</w:t>
      </w:r>
    </w:p>
    <w:p>
      <w:pPr>
        <w:pStyle w:val="Heading2"/>
      </w:pPr>
      <w:r>
        <w:t xml:space="preserve">5.6 Scalability &amp; Extensibility</w:t>
      </w:r>
    </w:p>
    <w:p>
      <w:pPr>
        <w:pStyle w:val="ListParagraph"/>
        <w:numPr>
          <w:ilvl w:val="0"/>
          <w:numId w:val="2"/>
        </w:numPr>
        <w:spacing w:after="60"/>
      </w:pPr>
      <w:r>
        <w:t xml:space="preserve">New component types are added by registering a schema definition + renderer component + designer palette entry — no changes to the core canvas, versioning, or rule engine.</w:t>
      </w:r>
    </w:p>
    <w:p>
      <w:pPr>
        <w:pStyle w:val="ListParagraph"/>
        <w:numPr>
          <w:ilvl w:val="0"/>
          <w:numId w:val="2"/>
        </w:numPr>
        <w:spacing w:after="60"/>
      </w:pPr>
      <w:r>
        <w:t xml:space="preserve">New data sources and new export/import adapters (FHIR, OCR) are added as isolated provider modules behind existing interfaces, per the Strategy pattern, without touching the Builder or core Renderer.</w:t>
      </w:r>
    </w:p>
    <w:p>
      <w:pPr>
        <w:pStyle w:val="ListParagraph"/>
        <w:numPr>
          <w:ilvl w:val="0"/>
          <w:numId w:val="2"/>
        </w:numPr>
        <w:spacing w:after="60"/>
      </w:pPr>
      <w:r>
        <w:t xml:space="preserve">Multi-branch/multi-hospital support follows the existing HDSP branch model (active branch on JWT, branch-scoped queries) already used by Loyalty/Attendance.</w:t>
      </w:r>
    </w:p>
    <w:p>
      <w:pPr>
        <w:pStyle w:val="Heading1"/>
      </w:pPr>
      <w:r>
        <w:t xml:space="preserve">6. High-Level Data Architecture (Preview)</w:t>
      </w:r>
    </w:p>
    <w:p>
      <w:pPr>
        <w:spacing w:after="160"/>
      </w:pPr>
      <w:r>
        <w:t xml:space="preserve">Full ERD, migrations, and API contracts are Phase 2 deliverables. This section previews the architectural commitments this Phase 1 document is making, so they can be reviewed before Phase 2 detail work begins.</w:t>
      </w:r>
    </w:p>
    <w:p>
      <w:pPr>
        <w:pStyle w:val="Heading2"/>
      </w:pPr>
      <w:r>
        <w:t xml:space="preserve">6.1 Builder → JSON → Renderer Pipeline</w:t>
      </w:r>
    </w:p>
    <w:p>
      <w:pPr>
        <w:spacing w:after="160"/>
      </w:pPr>
      <w:r>
        <w:t xml:space="preserve">Builder (canvas UI) writes only to a draft JSON Schema document. Publishing snapshots that JSON into an immutable version row. The Renderer (used both for staff filling a form and for read-only viewing) consumes only the published JSON Schema — it has no dependency on canvas/editor code. This mirrors the existing separation HDSP already uses between admin-configuration UIs and the runtime experiences that consume that configuration.</w:t>
      </w:r>
    </w:p>
    <w:p>
      <w:pPr>
        <w:pStyle w:val="Heading2"/>
      </w:pPr>
      <w:r>
        <w:t xml:space="preserve">6.2 Core Entities (indicative, subject to Phase 2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Entity</w:t>
            </w:r>
          </w:p>
        </w:tc>
        <w:tc>
          <w:tcPr>
            <w:tcW w:type="dxa" w:w="67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Purpose</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FormTemplate</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Logical form (e.g., “ICU Nursing Assessment”); holds metadata, category, current published version pointer</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FormTemplateVersion</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Immutable snapshot: JSONB schema, status (draft/in_review/approved/published/archived/retired), author, timestamps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FormSubmission</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 filled instance of a published version, linked to Patient/Visit/Encounter, JSONB answer payload</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FormFieldAudit</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Structural per-field audit entries for both template changes and submission edits</w:t>
            </w:r>
          </w:p>
        </w:tc>
      </w:tr>
      <w:tr>
        <w:tc>
          <w:tcPr>
            <w:tcW w:type="dxa" w:w="26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FormDataSource</w:t>
            </w:r>
          </w:p>
        </w:tc>
        <w:tc>
          <w:tcPr>
            <w:tcW w:type="dxa" w:w="67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Admin-configured external/internal data source definitions used for bindings and lookups</w:t>
            </w:r>
          </w:p>
        </w:tc>
      </w:tr>
      <w:tr>
        <w:tc>
          <w:tcPr>
            <w:tcW w:type="dxa" w:w="26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FormTemplatePermission</w:t>
            </w:r>
          </w:p>
        </w:tc>
        <w:tc>
          <w:tcPr>
            <w:tcW w:type="dxa" w:w="67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Field/section/form-level permission overrides beyond the base RBAC permission keys</w:t>
            </w:r>
          </w:p>
        </w:tc>
      </w:tr>
    </w:tbl>
    <w:p>
      <w:pPr>
        <w:pStyle w:val="Heading2"/>
      </w:pPr>
      <w:r>
        <w:t xml:space="preserve">6.3 PostgreSQL Approach</w:t>
      </w:r>
    </w:p>
    <w:p>
      <w:pPr>
        <w:pStyle w:val="ListParagraph"/>
        <w:numPr>
          <w:ilvl w:val="0"/>
          <w:numId w:val="2"/>
        </w:numPr>
        <w:spacing w:after="60"/>
      </w:pPr>
      <w:r>
        <w:t xml:space="preserve">JSONB for schema and submission payloads, with GIN indexes for containment queries (e.g., “find all published forms containing a Signature field”).</w:t>
      </w:r>
    </w:p>
    <w:p>
      <w:pPr>
        <w:pStyle w:val="ListParagraph"/>
        <w:numPr>
          <w:ilvl w:val="0"/>
          <w:numId w:val="2"/>
        </w:numPr>
        <w:spacing w:after="60"/>
      </w:pPr>
      <w:r>
        <w:t xml:space="preserve">Generated columns for hot filter paths (status, category, branch_id) extracted from JSONB metadata, so common list/filter queries don't need JSONB operators on the critical path.</w:t>
      </w:r>
    </w:p>
    <w:p>
      <w:pPr>
        <w:pStyle w:val="ListParagraph"/>
        <w:numPr>
          <w:ilvl w:val="0"/>
          <w:numId w:val="2"/>
        </w:numPr>
        <w:spacing w:after="60"/>
      </w:pPr>
      <w:r>
        <w:t xml:space="preserve">UUID primary keys, timestamp columns, and migration file conventions matching the existing HDSP migration set (timestamped, class-based, up/down).</w:t>
      </w:r>
    </w:p>
    <w:p>
      <w:pPr>
        <w:pStyle w:val="Heading2"/>
      </w:pPr>
      <w:r>
        <w:t xml:space="preserve">6.4 Extension Points Reserved (not built in v1)</w:t>
      </w:r>
    </w:p>
    <w:p>
      <w:pPr>
        <w:pStyle w:val="ListParagraph"/>
        <w:numPr>
          <w:ilvl w:val="0"/>
          <w:numId w:val="2"/>
        </w:numPr>
        <w:spacing w:after="60"/>
      </w:pPr>
      <w:r>
        <w:t xml:space="preserve">FHIR Questionnaire import/export adapter, hung off the same import/export interface as JSON/PDF/CSV.</w:t>
      </w:r>
    </w:p>
    <w:p>
      <w:pPr>
        <w:pStyle w:val="ListParagraph"/>
        <w:numPr>
          <w:ilvl w:val="0"/>
          <w:numId w:val="2"/>
        </w:numPr>
        <w:spacing w:after="60"/>
      </w:pPr>
      <w:r>
        <w:t xml:space="preserve">OCR-to-schema import adapter for scanned paper forms.</w:t>
      </w:r>
    </w:p>
    <w:p>
      <w:pPr>
        <w:pStyle w:val="ListParagraph"/>
        <w:numPr>
          <w:ilvl w:val="0"/>
          <w:numId w:val="2"/>
        </w:numPr>
        <w:spacing w:after="60"/>
      </w:pPr>
      <w:r>
        <w:t xml:space="preserve">AI prompt-to-schema generator, producing a draft JSON Schema for a designer to refine — never auto-publishing.</w:t>
      </w:r>
    </w:p>
    <w:p>
      <w:pPr>
        <w:pStyle w:val="Heading1"/>
      </w:pPr>
      <w:r>
        <w:t xml:space="preserve">7. Assumptions, Risks, and Open Questions</w:t>
      </w:r>
    </w:p>
    <w:p>
      <w:pPr>
        <w:pStyle w:val="Heading2"/>
      </w:pPr>
      <w:r>
        <w:t xml:space="preserve">7.1 Assumptions</w:t>
      </w:r>
    </w:p>
    <w:p>
      <w:pPr>
        <w:pStyle w:val="ListParagraph"/>
        <w:numPr>
          <w:ilvl w:val="0"/>
          <w:numId w:val="2"/>
        </w:numPr>
        <w:spacing w:after="60"/>
      </w:pPr>
      <w:r>
        <w:t xml:space="preserve">Patient/Visit/Encounter/Doctor/Department master data is available through existing HDSP services or the existing Oracle HIS read-only sync — the Form Builder does not become a new integration point into Oracle HIS.</w:t>
      </w:r>
    </w:p>
    <w:p>
      <w:pPr>
        <w:pStyle w:val="ListParagraph"/>
        <w:numPr>
          <w:ilvl w:val="0"/>
          <w:numId w:val="2"/>
        </w:numPr>
        <w:spacing w:after="60"/>
      </w:pPr>
      <w:r>
        <w:t xml:space="preserve">BullMQ/Redis (already in use for Loyalty and Audit) is the async job mechanism for PDF generation and audit writes, consistent with existing infrastructure.</w:t>
      </w:r>
    </w:p>
    <w:p>
      <w:pPr>
        <w:pStyle w:val="ListParagraph"/>
        <w:numPr>
          <w:ilvl w:val="0"/>
          <w:numId w:val="2"/>
        </w:numPr>
        <w:spacing w:after="60"/>
      </w:pPr>
      <w:r>
        <w:t xml:space="preserve">RBAC permission keys will be namespaced FORMS:* following the existing MODULE:RESOURCE:ACTION convention.</w:t>
      </w:r>
    </w:p>
    <w:p>
      <w:pPr>
        <w:pStyle w:val="Heading2"/>
      </w:pPr>
      <w:r>
        <w:t xml:space="preserve">7.2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rPr>
          <w:tblHeader/>
        </w:trPr>
        <w:tc>
          <w:tcPr>
            <w:tcW w:type="dxa" w:w="32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Risk</w:t>
            </w:r>
          </w:p>
        </w:tc>
        <w:tc>
          <w:tcPr>
            <w:tcW w:type="dxa" w:w="280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Impact</w:t>
            </w:r>
          </w:p>
        </w:tc>
        <w:tc>
          <w:tcPr>
            <w:tcW w:type="dxa" w:w="3360"/>
            <w:tcBorders>
              <w:top w:val="single" w:color="BFBFBF" w:sz="2"/>
              <w:left w:val="single" w:color="BFBFBF" w:sz="2"/>
              <w:bottom w:val="single" w:color="BFBFBF" w:sz="2"/>
              <w:right w:val="single" w:color="BFBFBF" w:sz="2"/>
            </w:tcBorders>
            <w:shd w:fill="1F3864" w:val="clear"/>
            <w:tcMar>
              <w:top w:type="dxa" w:w="80"/>
              <w:left w:type="dxa" w:w="120"/>
              <w:bottom w:type="dxa" w:w="80"/>
              <w:right w:type="dxa" w:w="120"/>
            </w:tcMar>
            <w:vAlign w:val="center"/>
          </w:tcPr>
          <w:p>
            <w:r>
              <w:rPr>
                <w:b/>
                <w:bCs/>
                <w:color w:val="FFFFFF"/>
                <w:sz w:val="20"/>
                <w:szCs w:val="20"/>
              </w:rPr>
              <w:t xml:space="preserve">Mitigation direction</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Canvas performance at 100+ pages / thousands of components</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Designer becomes unusable for large forms</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Mandatory virtualization + incremental save, validated with a large-form load test before Phase 2 sign-off</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Rule engine becoming a de facto scripting language</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Security/maintainability risk, unbounded complexity</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Hard constraint: expression-tree JSON only, no arbitrary code eval, capped function set</w:t>
            </w:r>
          </w:p>
        </w:tc>
      </w:tr>
      <w:tr>
        <w:tc>
          <w:tcPr>
            <w:tcW w:type="dxa" w:w="32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JSON Schema drift between Builder-authored and Renderer-expected shape</w:t>
            </w:r>
          </w:p>
        </w:tc>
        <w:tc>
          <w:tcPr>
            <w:tcW w:type="dxa" w:w="280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Broken forms in production</w:t>
            </w:r>
          </w:p>
        </w:tc>
        <w:tc>
          <w:tcPr>
            <w:tcW w:type="dxa" w:w="3360"/>
            <w:tcBorders>
              <w:top w:val="single" w:color="BFBFBF" w:sz="2"/>
              <w:left w:val="single" w:color="BFBFBF" w:sz="2"/>
              <w:bottom w:val="single" w:color="BFBFBF" w:sz="2"/>
              <w:right w:val="single" w:color="BFBFBF" w:sz="2"/>
            </w:tcBorders>
            <w:tcMar>
              <w:top w:type="dxa" w:w="80"/>
              <w:left w:type="dxa" w:w="120"/>
              <w:bottom w:type="dxa" w:w="80"/>
              <w:right w:type="dxa" w:w="120"/>
            </w:tcMar>
            <w:vAlign w:val="center"/>
          </w:tcPr>
          <w:p>
            <w:r>
              <w:rPr>
                <w:b w:val="false"/>
                <w:bCs w:val="false"/>
                <w:sz w:val="20"/>
                <w:szCs w:val="20"/>
              </w:rPr>
              <w:t xml:space="preserve">Single shared TypeScript schema/type package consumed by both Builder and Renderer, schema-versioned with migration helpers</w:t>
            </w:r>
          </w:p>
        </w:tc>
      </w:tr>
      <w:tr>
        <w:tc>
          <w:tcPr>
            <w:tcW w:type="dxa" w:w="32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Medical diagram annotation data growing unbounded per submission</w:t>
            </w:r>
          </w:p>
        </w:tc>
        <w:tc>
          <w:tcPr>
            <w:tcW w:type="dxa" w:w="280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Storage/query performance over years of use</w:t>
            </w:r>
          </w:p>
        </w:tc>
        <w:tc>
          <w:tcPr>
            <w:tcW w:type="dxa" w:w="3360"/>
            <w:tcBorders>
              <w:top w:val="single" w:color="BFBFBF" w:sz="2"/>
              <w:left w:val="single" w:color="BFBFBF" w:sz="2"/>
              <w:bottom w:val="single" w:color="BFBFBF" w:sz="2"/>
              <w:right w:val="single" w:color="BFBFBF" w:sz="2"/>
            </w:tcBorders>
            <w:shd w:fill="F2F2F2" w:val="clear"/>
            <w:tcMar>
              <w:top w:type="dxa" w:w="80"/>
              <w:left w:type="dxa" w:w="120"/>
              <w:bottom w:type="dxa" w:w="80"/>
              <w:right w:type="dxa" w:w="120"/>
            </w:tcMar>
            <w:vAlign w:val="center"/>
          </w:tcPr>
          <w:p>
            <w:r>
              <w:rPr>
                <w:b w:val="false"/>
                <w:bCs w:val="false"/>
                <w:sz w:val="20"/>
                <w:szCs w:val="20"/>
              </w:rPr>
              <w:t xml:space="preserve">Vector overlay data capped and structured per hotspot region, not raw pixel/freehand streams stored indefinitely without compaction</w:t>
            </w:r>
          </w:p>
        </w:tc>
      </w:tr>
    </w:tbl>
    <w:p>
      <w:pPr>
        <w:pStyle w:val="Heading2"/>
      </w:pPr>
      <w:r>
        <w:t xml:space="preserve">7.3 Open Questions for Stakeholder Input</w:t>
      </w:r>
    </w:p>
    <w:p>
      <w:pPr>
        <w:pStyle w:val="ListParagraph"/>
        <w:numPr>
          <w:ilvl w:val="0"/>
          <w:numId w:val="3"/>
        </w:numPr>
        <w:spacing w:after="60"/>
      </w:pPr>
      <w:r>
        <w:t xml:space="preserve">Which forms are the priority v1 templates — is Patient Registration + Consent the MVP slice, or should a clinical assessment form (e.g., Nursing Assessment) be included in v1 to validate the medical-diagram components early?</w:t>
      </w:r>
    </w:p>
    <w:p>
      <w:pPr>
        <w:pStyle w:val="ListParagraph"/>
        <w:numPr>
          <w:ilvl w:val="0"/>
          <w:numId w:val="3"/>
        </w:numPr>
        <w:spacing w:after="60"/>
      </w:pPr>
      <w:r>
        <w:t xml:space="preserve">Does “Digital Signature” need to be legally binding (certificate-based e-signature) or is a captured signature image sufficient for v1?</w:t>
      </w:r>
    </w:p>
    <w:p>
      <w:pPr>
        <w:pStyle w:val="ListParagraph"/>
        <w:numPr>
          <w:ilvl w:val="0"/>
          <w:numId w:val="3"/>
        </w:numPr>
        <w:spacing w:after="60"/>
      </w:pPr>
      <w:r>
        <w:t xml:space="preserve">Is multi-branch/multi-hospital template variation required in v1 (same template, per-branch overrides), or is one template set shared across all branches acceptable initially?</w:t>
      </w:r>
    </w:p>
    <w:p>
      <w:pPr>
        <w:pStyle w:val="Heading1"/>
      </w:pPr>
      <w:r>
        <w:t xml:space="preserve">8. Definition of Done — Phase 1</w:t>
      </w:r>
    </w:p>
    <w:p>
      <w:pPr>
        <w:pStyle w:val="ListParagraph"/>
        <w:numPr>
          <w:ilvl w:val="0"/>
          <w:numId w:val="2"/>
        </w:numPr>
        <w:spacing w:after="60"/>
      </w:pPr>
      <w:r>
        <w:t xml:space="preserve">Stack baseline verified against the actual repository (§0) — complete.</w:t>
      </w:r>
    </w:p>
    <w:p>
      <w:pPr>
        <w:pStyle w:val="ListParagraph"/>
        <w:numPr>
          <w:ilvl w:val="0"/>
          <w:numId w:val="2"/>
        </w:numPr>
        <w:spacing w:after="60"/>
      </w:pPr>
      <w:r>
        <w:t xml:space="preserve">Product goals/non-goals agreed (§2).</w:t>
      </w:r>
    </w:p>
    <w:p>
      <w:pPr>
        <w:pStyle w:val="ListParagraph"/>
        <w:numPr>
          <w:ilvl w:val="0"/>
          <w:numId w:val="2"/>
        </w:numPr>
        <w:spacing w:after="60"/>
      </w:pPr>
      <w:r>
        <w:t xml:space="preserve">Personas and RBAC mapping agreed (§3).</w:t>
      </w:r>
    </w:p>
    <w:p>
      <w:pPr>
        <w:pStyle w:val="ListParagraph"/>
        <w:numPr>
          <w:ilvl w:val="0"/>
          <w:numId w:val="2"/>
        </w:numPr>
        <w:spacing w:after="60"/>
      </w:pPr>
      <w:r>
        <w:t xml:space="preserve">Functional requirements covering canvas, components, property panel, rule engine, versioning/workflow, data binding, and PDF/import/export are reviewed and accepted (§4).</w:t>
      </w:r>
    </w:p>
    <w:p>
      <w:pPr>
        <w:pStyle w:val="ListParagraph"/>
        <w:numPr>
          <w:ilvl w:val="0"/>
          <w:numId w:val="2"/>
        </w:numPr>
        <w:spacing w:after="60"/>
      </w:pPr>
      <w:r>
        <w:t xml:space="preserve">Non-functional requirements for performance, accessibility, security/compliance, auditability, reliability, and scalability are reviewed and accepted (§5).</w:t>
      </w:r>
    </w:p>
    <w:p>
      <w:pPr>
        <w:pStyle w:val="ListParagraph"/>
        <w:numPr>
          <w:ilvl w:val="0"/>
          <w:numId w:val="2"/>
        </w:numPr>
        <w:spacing w:after="60"/>
      </w:pPr>
      <w:r>
        <w:t xml:space="preserve">Open questions in §7.3 are answered or explicitly deferred with an owner.</w:t>
      </w:r>
    </w:p>
    <w:p>
      <w:pPr>
        <w:spacing w:after="160"/>
      </w:pPr>
      <w:r>
        <w:t xml:space="preserve"/>
      </w:r>
    </w:p>
    <w:p>
      <w:pPr>
        <w:spacing w:after="160"/>
      </w:pPr>
      <w:r>
        <w:rPr>
          <w:b/>
          <w:bCs/>
        </w:rPr>
        <w:t xml:space="preserve">Upon approval of this document, Phase 2 (Complete Architecture Document, Module Breakdown, Database Design, JSON Schema, API Design) begins.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6"/>
        <w:szCs w:val="16"/>
      </w:rPr>
      <w:t xml:space="preserve">HDSP — Dynamic Patient Form Builder | Phase 1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2026-07-05T10:07:38.043Z</dcterms:created>
  <dcterms:modified xsi:type="dcterms:W3CDTF">2026-07-05T10:07:38.043Z</dcterms:modified>
</cp:coreProperties>
</file>

<file path=docProps/custom.xml><?xml version="1.0" encoding="utf-8"?>
<Properties xmlns="http://schemas.openxmlformats.org/officeDocument/2006/custom-properties" xmlns:vt="http://schemas.openxmlformats.org/officeDocument/2006/docPropsVTypes"/>
</file>