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2E75B6"/>
          <w:sz w:val="30"/>
          <w:szCs w:val="30"/>
        </w:rPr>
        <w:t xml:space="preserve">HDSP</w:t>
      </w:r>
    </w:p>
    <w:p>
      <w:pPr>
        <w:spacing w:after="300"/>
        <w:jc w:val="center"/>
      </w:pPr>
      <w:r>
        <w:rPr>
          <w:b/>
          <w:bCs/>
          <w:color w:val="1F3864"/>
          <w:sz w:val="54"/>
          <w:szCs w:val="54"/>
        </w:rPr>
        <w:t xml:space="preserve">Healthcare Document Studio</w:t>
      </w:r>
    </w:p>
    <w:p>
      <w:pPr>
        <w:spacing w:after="800"/>
        <w:jc w:val="center"/>
      </w:pPr>
      <w:r>
        <w:rPr>
          <w:sz w:val="28"/>
          <w:szCs w:val="28"/>
        </w:rPr>
        <w:t xml:space="preserve">Architecture Decision Records (ADR-001 – ADR-015)</w:t>
      </w:r>
    </w:p>
    <w:p>
      <w:pPr>
        <w:spacing w:after="100"/>
        <w:jc w:val="center"/>
      </w:pPr>
      <w:r>
        <w:rPr>
          <w:i/>
          <w:iCs/>
          <w:sz w:val="22"/>
          <w:szCs w:val="22"/>
        </w:rPr>
        <w:t xml:space="preserve">The Architectural Constitution — Frozen Upon Approval of Phase 1–6</w:t>
      </w:r>
    </w:p>
    <w:p>
      <w:pPr>
        <w:spacing w:after="100"/>
        <w:jc w:val="center"/>
      </w:pPr>
      <w:r>
        <w:rPr>
          <w:sz w:val="22"/>
          <w:szCs w:val="22"/>
        </w:rPr>
        <w:t xml:space="preserve">Document Version 1.0  |  Status: Accepted / Frozen</w:t>
      </w:r>
    </w:p>
    <w:p>
      <w:pPr>
        <w:spacing w:after="100"/>
        <w:jc w:val="center"/>
      </w:pPr>
      <w:r>
        <w:rPr>
          <w:sz w:val="22"/>
          <w:szCs w:val="22"/>
        </w:rPr>
        <w:t xml:space="preserve">Date: 5 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Preamble</w:t>
      </w:r>
    </w:p>
    <w:p>
      <w:pPr>
        <w:spacing w:after="160"/>
      </w:pPr>
      <w:r>
        <w:t xml:space="preserve">The Phase 1–6 architecture roadmap for HDSP Healthcare Document Studio (formerly scoped as “Dynamic Patient Form Builder”) is approved and frozen as of 5 July 2026. The fifteen Architecture Decision Records below are the binding, load-bearing decisions extracted from that roadmap. They exist so implementation can proceed with confidence and speed, without re-litigating settled architectural questions, and so that any future change to one of these decisions is a deliberate, visible act — not a shortcut that quietly erodes the architecture.</w:t>
      </w:r>
    </w:p>
    <w:p>
      <w:pPr>
        <w:pStyle w:val="Heading2"/>
      </w:pPr>
      <w:r>
        <w:t xml:space="preserve">How These ADRs Are Used</w:t>
      </w:r>
    </w:p>
    <w:p>
      <w:pPr>
        <w:pStyle w:val="ListParagraph"/>
        <w:numPr>
          <w:ilvl w:val="0"/>
          <w:numId w:val="2"/>
        </w:numPr>
        <w:spacing w:after="60"/>
      </w:pPr>
      <w:r>
        <w:t xml:space="preserve">Any implementation work that appears to require deviating from an ADR must stop and produce a superseding ADR (e.g., “ADR-016 supersedes ADR-004 because...”) before proceeding — it cannot simply be coded around.</w:t>
      </w:r>
    </w:p>
    <w:p>
      <w:pPr>
        <w:pStyle w:val="ListParagraph"/>
        <w:numPr>
          <w:ilvl w:val="0"/>
          <w:numId w:val="2"/>
        </w:numPr>
        <w:spacing w:after="60"/>
      </w:pPr>
      <w:r>
        <w:t xml:space="preserve">Each ADR below cites the phase document(s) where the full reasoning, alternatives considered, and detail live — these ADRs are deliberately terse; the phase documents in D:\HDSP\docs remain the detailed record.</w:t>
      </w:r>
    </w:p>
    <w:p>
      <w:pPr>
        <w:pStyle w:val="ListParagraph"/>
        <w:numPr>
          <w:ilvl w:val="0"/>
          <w:numId w:val="2"/>
        </w:numPr>
        <w:spacing w:after="60"/>
      </w:pPr>
      <w:r>
        <w:t xml:space="preserve">Product/application-level decisions (which fields go on the Nursing Assessment form, which hospital gets which theme) are explicitly NOT ADRs — ADRs are for structural, hard-to-reverse engineering decisions only.</w:t>
      </w:r>
    </w:p>
    <w:p>
      <w:pPr>
        <w:pStyle w:val="Heading2"/>
      </w:pPr>
      <w:r>
        <w:t xml:space="preserve">Branding Note (Non-ADR, Informational)</w:t>
      </w:r>
    </w:p>
    <w:p>
      <w:pPr>
        <w:spacing w:after="160"/>
      </w:pPr>
      <w:r>
        <w:t xml:space="preserve">Internally, the platform is now referred to as HDSP Healthcare Document Studio, structured as Platform → Document Engine → Applications. Dynamic Patient Forms is the first and, as of this writing, only committed Application. Consent Forms, Certificates, Discharge Summary, Referral Letters, Medical Assessments, and Questionnaires are named as the intended shape of future Applications the architecture already supports (Phase 4A §2.1's DocumentTypeDefinition) — none of them are scoped or approved for building yet.</w:t>
      </w:r>
    </w:p>
    <w:p>
      <w:pPr>
        <w:pStyle w:val="Heading1"/>
      </w:pPr>
      <w:r>
        <w:t xml:space="preserve">ADR-001 — Schema-First Architecture</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The platform could have been built component-first (canvas edits live React component instances directly) or schema-first (canvas edits a JSON document; components are a rendering of that document).</w:t>
      </w:r>
    </w:p>
    <w:p>
      <w:pPr>
        <w:pStyle w:val="Heading3"/>
      </w:pPr>
      <w:r>
        <w:t xml:space="preserve">Decision</w:t>
      </w:r>
    </w:p>
    <w:p>
      <w:pPr>
        <w:spacing w:after="160"/>
      </w:pPr>
      <w:r>
        <w:t xml:space="preserve">Every form/document is, at its core, a versioned JSON Schema (FormSchema, Phase 2 §5). The canvas, the property panel, the rule engine, the renderer, and the PDF engine are all consumers or producers of this schema — none of them is the source of truth themselves.</w:t>
      </w:r>
    </w:p>
    <w:p>
      <w:pPr>
        <w:pStyle w:val="Heading3"/>
      </w:pPr>
      <w:r>
        <w:t xml:space="preserve">Consequences</w:t>
      </w:r>
    </w:p>
    <w:p>
      <w:pPr>
        <w:spacing w:after="160"/>
      </w:pPr>
      <w:r>
        <w:t xml:space="preserve">Enables clean versioning, diffing, migration (ADR-009), multi-branch overrides (ADR-011), and a Builder/Renderer split (ADR-003) that would be structurally impossible in a component-first design. Trade-off: every new capability must be expressible in the schema, which is a constraint, not just a freedom.</w:t>
      </w:r>
    </w:p>
    <w:p>
      <w:pPr>
        <w:spacing w:after="240"/>
      </w:pPr>
      <w:r>
        <w:rPr>
          <w:b/>
          <w:bCs/>
          <w:i/>
          <w:iCs/>
        </w:rPr>
        <w:t xml:space="preserve">Source: </w:t>
      </w:r>
      <w:r>
        <w:rPr>
          <w:i/>
          <w:iCs/>
          <w:color w:val="666666"/>
          <w:sz w:val="19"/>
          <w:szCs w:val="19"/>
        </w:rPr>
        <w:t xml:space="preserve">Phase 2 §5; reaffirmed as the single most important decision in the project per Phase 6 closing assessment.</w:t>
      </w:r>
    </w:p>
    <w:p>
      <w:pPr>
        <w:pStyle w:val="Heading1"/>
      </w:pPr>
      <w:r>
        <w:t xml:space="preserve">ADR-002 — Document Platform Abstraction (Form as One Document Type)</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The original brief scoped a form-builder-only module. Phase 3 approval reframed this: the platform should generalize to any document type (Consent, Certificate, Prescription, Discharge Summary, etc.), with Forms as the first consumer.</w:t>
      </w:r>
    </w:p>
    <w:p>
      <w:pPr>
        <w:pStyle w:val="Heading3"/>
      </w:pPr>
      <w:r>
        <w:t xml:space="preserve">Decision</w:t>
      </w:r>
    </w:p>
    <w:p>
      <w:pPr>
        <w:spacing w:after="160"/>
      </w:pPr>
      <w:r>
        <w:t xml:space="preserve">A generic Document Engine (Phase 4A §2) owns versioning, publishing, signatures, and PDF generation for any DocumentTypeDefinition. dynamic-forms registers 'form' as one Document Type and contains zero duplicated versioning/workflow/notification logic of its own.</w:t>
      </w:r>
    </w:p>
    <w:p>
      <w:pPr>
        <w:pStyle w:val="Heading3"/>
      </w:pPr>
      <w:r>
        <w:t xml:space="preserve">Consequences</w:t>
      </w:r>
    </w:p>
    <w:p>
      <w:pPr>
        <w:spacing w:after="160"/>
      </w:pPr>
      <w:r>
        <w:t xml:space="preserve">Future Applications (Consent, Certificates, ...) are additive registrations, not redesigns. Trade-off: some generalization was built ahead of a second concrete document type actually existing — accepted deliberately (Phase 4A §10.1 risk) and scoped to data-shape/service boundaries only, not speculative UI.</w:t>
      </w:r>
    </w:p>
    <w:p>
      <w:pPr>
        <w:spacing w:after="240"/>
      </w:pPr>
      <w:r>
        <w:rPr>
          <w:b/>
          <w:bCs/>
          <w:i/>
          <w:iCs/>
        </w:rPr>
        <w:t xml:space="preserve">Source: </w:t>
      </w:r>
      <w:r>
        <w:rPr>
          <w:i/>
          <w:iCs/>
          <w:color w:val="666666"/>
          <w:sz w:val="19"/>
          <w:szCs w:val="19"/>
        </w:rPr>
        <w:t xml:space="preserve">Phase 4A §1-§2.</w:t>
      </w:r>
    </w:p>
    <w:p>
      <w:pPr>
        <w:pStyle w:val="Heading1"/>
      </w:pPr>
      <w:r>
        <w:t xml:space="preserve">ADR-003 — Builder / Renderer Separation</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A form designer surface and a form-filling runtime surface have very different performance, security, and UX needs.</w:t>
      </w:r>
    </w:p>
    <w:p>
      <w:pPr>
        <w:pStyle w:val="Heading3"/>
      </w:pPr>
      <w:r>
        <w:t xml:space="preserve">Decision</w:t>
      </w:r>
    </w:p>
    <w:p>
      <w:pPr>
        <w:spacing w:after="160"/>
      </w:pPr>
      <w:r>
        <w:t xml:space="preserve">The Builder (canvas) only ever edits a draft JSON Schema. The Renderer (runtime) only ever consumes a resolved, published JSON Schema through the six-stage rendering pipeline (ADR-007). Neither contains the other's logic; they share only the JSON Schema contract and the Component Registry (ADR-005).</w:t>
      </w:r>
    </w:p>
    <w:p>
      <w:pPr>
        <w:pStyle w:val="Heading3"/>
      </w:pPr>
      <w:r>
        <w:t xml:space="preserve">Consequences</w:t>
      </w:r>
    </w:p>
    <w:p>
      <w:pPr>
        <w:spacing w:after="160"/>
      </w:pPr>
      <w:r>
        <w:t xml:space="preserve">Guarantees “what you designed is what clinicians get” structurally, not by convention. Enables independent Designer-API/Runtime-API scaling and RBAC (Phase 5A §1.6). Trade-off: any new feature must be considered on both sides of the boundary explicitly.</w:t>
      </w:r>
    </w:p>
    <w:p>
      <w:pPr>
        <w:spacing w:after="240"/>
      </w:pPr>
      <w:r>
        <w:rPr>
          <w:b/>
          <w:bCs/>
          <w:i/>
          <w:iCs/>
        </w:rPr>
        <w:t xml:space="preserve">Source: </w:t>
      </w:r>
      <w:r>
        <w:rPr>
          <w:i/>
          <w:iCs/>
          <w:color w:val="666666"/>
          <w:sz w:val="19"/>
          <w:szCs w:val="19"/>
        </w:rPr>
        <w:t xml:space="preserve">Phase 1 §6; Phase 3 §3; Phase 5A §1.6.</w:t>
      </w:r>
    </w:p>
    <w:p>
      <w:pPr>
        <w:pStyle w:val="Heading1"/>
      </w:pPr>
      <w:r>
        <w:t xml:space="preserve">ADR-004 — Framework-Agnostic Canvas Engine</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A naive canvas mounts one React component per placed field; this does not scale to the Phase 1 performance target (100+ pages, thousands of components) and couples the core editing model to React's render cycle.</w:t>
      </w:r>
    </w:p>
    <w:p>
      <w:pPr>
        <w:pStyle w:val="Heading3"/>
      </w:pPr>
      <w:r>
        <w:t xml:space="preserve">Decision</w:t>
      </w:r>
    </w:p>
    <w:p>
      <w:pPr>
        <w:spacing w:after="160"/>
      </w:pPr>
      <w:r>
        <w:t xml:space="preserve">packages/canvas-engine (scene graph, spatial index, event bus, command system, viewport) is plain TypeScript with zero React/DOM dependency. React (canvas-engine-react) is a thin host that reads engine state via selector hooks and writes only via Command dispatch — never direct mutation.</w:t>
      </w:r>
    </w:p>
    <w:p>
      <w:pPr>
        <w:pStyle w:val="Heading3"/>
      </w:pPr>
      <w:r>
        <w:t xml:space="preserve">Consequences</w:t>
      </w:r>
    </w:p>
    <w:p>
      <w:pPr>
        <w:spacing w:after="160"/>
      </w:pPr>
      <w:r>
        <w:t xml:space="preserve">Independently unit-testable headless (Phase 5A §10), scales by viewport size rather than document size, and could in principle support a non-React host later. Trade-off: more upfront structure than “just build it in React,” accepted deliberately per Phase 5A's mandate.</w:t>
      </w:r>
    </w:p>
    <w:p>
      <w:pPr>
        <w:spacing w:after="240"/>
      </w:pPr>
      <w:r>
        <w:rPr>
          <w:b/>
          <w:bCs/>
          <w:i/>
          <w:iCs/>
        </w:rPr>
        <w:t xml:space="preserve">Source: </w:t>
      </w:r>
      <w:r>
        <w:rPr>
          <w:i/>
          <w:iCs/>
          <w:color w:val="666666"/>
          <w:sz w:val="19"/>
          <w:szCs w:val="19"/>
        </w:rPr>
        <w:t xml:space="preserve">Phase 3 §2; Phase 5A §2.</w:t>
      </w:r>
    </w:p>
    <w:p>
      <w:pPr>
        <w:pStyle w:val="Heading1"/>
      </w:pPr>
      <w:r>
        <w:t xml:space="preserve">ADR-005 — Component Registry</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A form builder needs dozens of field/control types (basic, input, medical, table, layout) that must be addable over years without destabilizing the canvas or renderer.</w:t>
      </w:r>
    </w:p>
    <w:p>
      <w:pPr>
        <w:pStyle w:val="Heading3"/>
      </w:pPr>
      <w:r>
        <w:t xml:space="preserve">Decision</w:t>
      </w:r>
    </w:p>
    <w:p>
      <w:pPr>
        <w:spacing w:after="160"/>
      </w:pPr>
      <w:r>
        <w:t xml:space="preserve">Every component type is a registered ComponentDefinition (id, displayName, DesignerComponent, RendererComponent, validate, serialize, defaultSchema, supported events/validations/bindings/themes, and — per Phase 5B — a propertySchema for automatic Inspector generation). Adding a component is a registration exercise; the canvas, renderer, and property panel never hardcode a per-type switch statement.</w:t>
      </w:r>
    </w:p>
    <w:p>
      <w:pPr>
        <w:pStyle w:val="Heading3"/>
      </w:pPr>
      <w:r>
        <w:t xml:space="preserve">Consequences</w:t>
      </w:r>
    </w:p>
    <w:p>
      <w:pPr>
        <w:spacing w:after="160"/>
      </w:pPr>
      <w:r>
        <w:t xml:space="preserve">New components (including entire medical specialties) ship without touching core engine code. Trade-off: every component must fit the ComponentDefinition contract, including a genuinely-custom-control escape hatch (Phase 5B §2.3) for cases like the Body Diagram.</w:t>
      </w:r>
    </w:p>
    <w:p>
      <w:pPr>
        <w:spacing w:after="240"/>
      </w:pPr>
      <w:r>
        <w:rPr>
          <w:b/>
          <w:bCs/>
          <w:i/>
          <w:iCs/>
        </w:rPr>
        <w:t xml:space="preserve">Source: </w:t>
      </w:r>
      <w:r>
        <w:rPr>
          <w:i/>
          <w:iCs/>
          <w:color w:val="666666"/>
          <w:sz w:val="19"/>
          <w:szCs w:val="19"/>
        </w:rPr>
        <w:t xml:space="preserve">Phase 2 §3; Phase 5B §2-§3.</w:t>
      </w:r>
    </w:p>
    <w:p>
      <w:pPr>
        <w:pStyle w:val="Heading1"/>
      </w:pPr>
      <w:r>
        <w:t xml:space="preserve">ADR-006 — Plugin SDK</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Some component/template needs are specialty-specific (Dental, Burn, Cardiology) and shouldn't require core platform releases to add or update.</w:t>
      </w:r>
    </w:p>
    <w:p>
      <w:pPr>
        <w:pStyle w:val="Heading3"/>
      </w:pPr>
      <w:r>
        <w:t xml:space="preserve">Decision</w:t>
      </w:r>
    </w:p>
    <w:p>
      <w:pPr>
        <w:spacing w:after="160"/>
      </w:pPr>
      <w:r>
        <w:t xml:space="preserve">A versioned FormBuilderPlugin manifest contract (components, templates, validators, toolbar/keyboard/theme/importer/exporter/context-menu contributions, and lifecycle hooks per Phase 5B §1.5) with an explicit sdkVersion compatibility check (Phase 4B §5) gating activation.</w:t>
      </w:r>
    </w:p>
    <w:p>
      <w:pPr>
        <w:pStyle w:val="Heading3"/>
      </w:pPr>
      <w:r>
        <w:t xml:space="preserve">Consequences</w:t>
      </w:r>
    </w:p>
    <w:p>
      <w:pPr>
        <w:spacing w:after="160"/>
      </w:pPr>
      <w:r>
        <w:t xml:space="preserve">New specialties are installable, not core changes. Version skew between a plugin and the platform fails loudly (activation blocked with a specific reason) rather than corrupting the registry. Trade-off: v1 plugins remain trusted/first-party only — a full third-party sandboxing model is explicitly out of scope until designed (see Phase 6 §1.6 Marketplace, reserved not built).</w:t>
      </w:r>
    </w:p>
    <w:p>
      <w:pPr>
        <w:spacing w:after="240"/>
      </w:pPr>
      <w:r>
        <w:rPr>
          <w:b/>
          <w:bCs/>
          <w:i/>
          <w:iCs/>
        </w:rPr>
        <w:t xml:space="preserve">Source: </w:t>
      </w:r>
      <w:r>
        <w:rPr>
          <w:i/>
          <w:iCs/>
          <w:color w:val="666666"/>
          <w:sz w:val="19"/>
          <w:szCs w:val="19"/>
        </w:rPr>
        <w:t xml:space="preserve">Phase 3 §5; Phase 4B §5; Phase 5B §1.5.</w:t>
      </w:r>
    </w:p>
    <w:p>
      <w:pPr>
        <w:pStyle w:val="Heading1"/>
      </w:pPr>
      <w:r>
        <w:t xml:space="preserve">ADR-007 — Six-Stage Rendering Pipeline</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Resolving branch/department overrides, layout, rules, permissions, and theming into a final render tree could be done ad hoc per component, or as a formal pipeline.</w:t>
      </w:r>
    </w:p>
    <w:p>
      <w:pPr>
        <w:pStyle w:val="Heading3"/>
      </w:pPr>
      <w:r>
        <w:t xml:space="preserve">Decision</w:t>
      </w:r>
    </w:p>
    <w:p>
      <w:pPr>
        <w:spacing w:after="160"/>
      </w:pPr>
      <w:r>
        <w:t xml:space="preserve">Every render (Designer preview and production Runtime alike) passes through: Resolver → Layout Engine → Rule Engine → Permission Engine → Theme Engine → Renderer. Each stage is a pure, independently testable and cacheable function; only the final stage is React.</w:t>
      </w:r>
    </w:p>
    <w:p>
      <w:pPr>
        <w:pStyle w:val="Heading3"/>
      </w:pPr>
      <w:r>
        <w:t xml:space="preserve">Consequences</w:t>
      </w:r>
    </w:p>
    <w:p>
      <w:pPr>
        <w:spacing w:after="160"/>
      </w:pPr>
      <w:r>
        <w:t xml:space="preserve">Preview-equals-runtime is structural, not tested-for. Each stage's performance and correctness can be reasoned about independently (Phase 3 §3.1's memoization guidance, Phase 6 §4 performance targets). Trade-off: a new cross-cutting concern must be placed in the correct stage rather than bolted onto a component.</w:t>
      </w:r>
    </w:p>
    <w:p>
      <w:pPr>
        <w:spacing w:after="240"/>
      </w:pPr>
      <w:r>
        <w:rPr>
          <w:b/>
          <w:bCs/>
          <w:i/>
          <w:iCs/>
        </w:rPr>
        <w:t xml:space="preserve">Source: </w:t>
      </w:r>
      <w:r>
        <w:rPr>
          <w:i/>
          <w:iCs/>
          <w:color w:val="666666"/>
          <w:sz w:val="19"/>
          <w:szCs w:val="19"/>
        </w:rPr>
        <w:t xml:space="preserve">Phase 3 §3.</w:t>
      </w:r>
    </w:p>
    <w:p>
      <w:pPr>
        <w:pStyle w:val="Heading1"/>
      </w:pPr>
      <w:r>
        <w:t xml:space="preserve">ADR-008 — Configurable Workflow Engine</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Different hospitals need different approval chains (a simple 3-step flow vs. a 7-step flow with Medical Director and Legal review).</w:t>
      </w:r>
    </w:p>
    <w:p>
      <w:pPr>
        <w:pStyle w:val="Heading3"/>
      </w:pPr>
      <w:r>
        <w:t xml:space="preserve">Decision</w:t>
      </w:r>
    </w:p>
    <w:p>
      <w:pPr>
        <w:spacing w:after="160"/>
      </w:pPr>
      <w:r>
        <w:t xml:space="preserve">Workflow is a data-defined state machine (WorkflowDefinition/State/Transition/Instance, Phase 4A §3), not a hardcoded enum. The approved default 6-state flow (Draft→In Review→Approved→Published→Archived→Retired, Phase 1 §4.5) is seed data, not special-cased code.</w:t>
      </w:r>
    </w:p>
    <w:p>
      <w:pPr>
        <w:pStyle w:val="Heading3"/>
      </w:pPr>
      <w:r>
        <w:t xml:space="preserve">Consequences</w:t>
      </w:r>
    </w:p>
    <w:p>
      <w:pPr>
        <w:spacing w:after="160"/>
      </w:pPr>
      <w:r>
        <w:t xml:space="preserve">New approval chains are configuration, not code changes. Simple hospitals see no added complexity (the default flow is indistinguishable from a hardcoded one in the common case). Trade-off: the engine itself must remain fully generic — it has zero knowledge of “forms” specifically.</w:t>
      </w:r>
    </w:p>
    <w:p>
      <w:pPr>
        <w:spacing w:after="240"/>
      </w:pPr>
      <w:r>
        <w:rPr>
          <w:b/>
          <w:bCs/>
          <w:i/>
          <w:iCs/>
        </w:rPr>
        <w:t xml:space="preserve">Source: </w:t>
      </w:r>
      <w:r>
        <w:rPr>
          <w:i/>
          <w:iCs/>
          <w:color w:val="666666"/>
          <w:sz w:val="19"/>
          <w:szCs w:val="19"/>
        </w:rPr>
        <w:t xml:space="preserve">Phase 4A §3.</w:t>
      </w:r>
    </w:p>
    <w:p>
      <w:pPr>
        <w:pStyle w:val="Heading1"/>
      </w:pPr>
      <w:r>
        <w:t xml:space="preserve">ADR-009 — Explicit Schema Migration Strategy</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FormSchema will evolve over years of production use; branching on schema version inside the Renderer (if (version==1)) accumulates unbounded technical debt.</w:t>
      </w:r>
    </w:p>
    <w:p>
      <w:pPr>
        <w:pStyle w:val="Heading3"/>
      </w:pPr>
      <w:r>
        <w:t xml:space="preserve">Decision</w:t>
      </w:r>
    </w:p>
    <w:p>
      <w:pPr>
        <w:spacing w:after="160"/>
      </w:pPr>
      <w:r>
        <w:t xml:space="preserve">A SchemaMigrationEngine holds a registered chain of pure fromVersion→toVersion migration functions. The Resolver always upgrades a stored schema to the current version before the Renderer ever sees it. CI fails if the current schema version is bumped without a corresponding registered migration (Phase 6 §1.2, §3).</w:t>
      </w:r>
    </w:p>
    <w:p>
      <w:pPr>
        <w:pStyle w:val="Heading3"/>
      </w:pPr>
      <w:r>
        <w:t xml:space="preserve">Consequences</w:t>
      </w:r>
    </w:p>
    <w:p>
      <w:pPr>
        <w:spacing w:after="160"/>
      </w:pPr>
      <w:r>
        <w:t xml:space="preserve">The Renderer never contains version-conditional logic. Every schema evolution has an explicit, tested, reversible-in-principle upgrade path. Trade-off: every breaking schema change requires writing and testing a migration as part of that change's definition of done — no shortcuts permitted.</w:t>
      </w:r>
    </w:p>
    <w:p>
      <w:pPr>
        <w:spacing w:after="240"/>
      </w:pPr>
      <w:r>
        <w:rPr>
          <w:b/>
          <w:bCs/>
          <w:i/>
          <w:iCs/>
        </w:rPr>
        <w:t xml:space="preserve">Source: </w:t>
      </w:r>
      <w:r>
        <w:rPr>
          <w:i/>
          <w:iCs/>
          <w:color w:val="666666"/>
          <w:sz w:val="19"/>
          <w:szCs w:val="19"/>
        </w:rPr>
        <w:t xml:space="preserve">Phase 6 §1.2.</w:t>
      </w:r>
    </w:p>
    <w:p>
      <w:pPr>
        <w:pStyle w:val="Heading1"/>
      </w:pPr>
      <w:r>
        <w:t xml:space="preserve">ADR-010 — Component Deprecation Policy</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Components will eventually need replacing (a better Signature control, a revised Table component) without breaking hospitals' years-old published forms.</w:t>
      </w:r>
    </w:p>
    <w:p>
      <w:pPr>
        <w:pStyle w:val="Heading3"/>
      </w:pPr>
      <w:r>
        <w:t xml:space="preserve">Decision</w:t>
      </w:r>
    </w:p>
    <w:p>
      <w:pPr>
        <w:spacing w:after="160"/>
      </w:pPr>
      <w:r>
        <w:t xml:space="preserve">A four-state lifecycle — Active → Deprecated (hidden from palette, still renders, migration suggested) → optionally Retired (registry entry removed) — where Retired is only permitted once Analytics (Phase 4A §6) confirms zero production forms reference the component.</w:t>
      </w:r>
    </w:p>
    <w:p>
      <w:pPr>
        <w:pStyle w:val="Heading3"/>
      </w:pPr>
      <w:r>
        <w:t xml:space="preserve">Consequences</w:t>
      </w:r>
    </w:p>
    <w:p>
      <w:pPr>
        <w:spacing w:after="160"/>
      </w:pPr>
      <w:r>
        <w:t xml:space="preserve">The Component Registry (ADR-005) can evolve indefinitely without ever breaking a published form. Trade-off: truly removing a component requires telemetry-backed proof of non-use, which is slower than “just delete it” but is the cost of the platform's durability guarantee.</w:t>
      </w:r>
    </w:p>
    <w:p>
      <w:pPr>
        <w:spacing w:after="240"/>
      </w:pPr>
      <w:r>
        <w:rPr>
          <w:b/>
          <w:bCs/>
          <w:i/>
          <w:iCs/>
        </w:rPr>
        <w:t xml:space="preserve">Source: </w:t>
      </w:r>
      <w:r>
        <w:rPr>
          <w:i/>
          <w:iCs/>
          <w:color w:val="666666"/>
          <w:sz w:val="19"/>
          <w:szCs w:val="19"/>
        </w:rPr>
        <w:t xml:space="preserve">Phase 6 §1.3.</w:t>
      </w:r>
    </w:p>
    <w:p>
      <w:pPr>
        <w:pStyle w:val="Heading1"/>
      </w:pPr>
      <w:r>
        <w:t xml:space="preserve">ADR-011 — Multi-Branch/Department Inheritance Model</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Hospital groups need branch- and department-specific variation (logo, footer, specific fields) without maintaining N full copies of every template.</w:t>
      </w:r>
    </w:p>
    <w:p>
      <w:pPr>
        <w:pStyle w:val="Heading3"/>
      </w:pPr>
      <w:r>
        <w:t xml:space="preserve">Decision</w:t>
      </w:r>
    </w:p>
    <w:p>
      <w:pPr>
        <w:spacing w:after="160"/>
      </w:pPr>
      <w:r>
        <w:t xml:space="preserve">Global Template → Branch Override → Department Override, where an override is a JSON Patch (RFC 6902) delta plus simple metadata overrides — never a duplicated schema. A Resolver merges these at render/preview time and is cached, invalidated only on override publish. Branch/department identifiers are plain indexed strings (Oracle orgstructure id / HIS department code), matching the existing HDSP convention of not locally modeling HIS-sourced reference data as foreign-keyed tables.</w:t>
      </w:r>
    </w:p>
    <w:p>
      <w:pPr>
        <w:pStyle w:val="Heading3"/>
      </w:pPr>
      <w:r>
        <w:t xml:space="preserve">Consequences</w:t>
      </w:r>
    </w:p>
    <w:p>
      <w:pPr>
        <w:spacing w:after="160"/>
      </w:pPr>
      <w:r>
        <w:t xml:space="preserve">One template, many branch variants, without maintenance multiplying by branch count. A branch override cannot silently remove a globally-required field (validated at override-publish time). Trade-off: override authoring is a delta/patch mental model, mitigated by always previewing the resolved form, never raw patch JSON, in the override editor.</w:t>
      </w:r>
    </w:p>
    <w:p>
      <w:pPr>
        <w:spacing w:after="240"/>
      </w:pPr>
      <w:r>
        <w:rPr>
          <w:b/>
          <w:bCs/>
          <w:i/>
          <w:iCs/>
        </w:rPr>
        <w:t xml:space="preserve">Source: </w:t>
      </w:r>
      <w:r>
        <w:rPr>
          <w:i/>
          <w:iCs/>
          <w:color w:val="666666"/>
          <w:sz w:val="19"/>
          <w:szCs w:val="19"/>
        </w:rPr>
        <w:t xml:space="preserve">Phase 2 §4.</w:t>
      </w:r>
    </w:p>
    <w:p>
      <w:pPr>
        <w:pStyle w:val="Heading1"/>
      </w:pPr>
      <w:r>
        <w:t xml:space="preserve">ADR-012 — Security Model — RBAC, Audit, and Server-Side Re-Validation</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A form platform touching patient data needs field/section/form-level access control and a complete change history, without inventing a parallel authorization or audit system alongside HDSP's existing one.</w:t>
      </w:r>
    </w:p>
    <w:p>
      <w:pPr>
        <w:pStyle w:val="Heading3"/>
      </w:pPr>
      <w:r>
        <w:t xml:space="preserve">Decision</w:t>
      </w:r>
    </w:p>
    <w:p>
      <w:pPr>
        <w:spacing w:after="160"/>
      </w:pPr>
      <w:r>
        <w:t xml:space="preserve">Reuse HDSP's existing JWT + refresh + Redis blacklist auth, RolesGuard/PermissionsGuard with MODULE:RESOURCE:ACTION keys (namespaced FORMS:*), and AuditService/@Audit convention for every template and submission change. The client-side rule engine's visibility/permission decisions are always re-validated server-side on submit — the client is never trusted alone. Rule and variable expressions are closed, non-executable JSON expression trees (no eval/new Function), eliminating a major injection surface by construction.</w:t>
      </w:r>
    </w:p>
    <w:p>
      <w:pPr>
        <w:pStyle w:val="Heading3"/>
      </w:pPr>
      <w:r>
        <w:t xml:space="preserve">Consequences</w:t>
      </w:r>
    </w:p>
    <w:p>
      <w:pPr>
        <w:spacing w:after="160"/>
      </w:pPr>
      <w:r>
        <w:t xml:space="preserve">No parallel security system to keep in sync with HDSP's evolving RBAC. Field-level permission bypass attempts fail server-side even if a compromised/modified client sends otherwise. Trade-off: the rule/variable engine's function set is deliberately closed and enumerable — new rule capabilities require extending the closed set, not adding arbitrary scripting.</w:t>
      </w:r>
    </w:p>
    <w:p>
      <w:pPr>
        <w:spacing w:after="240"/>
      </w:pPr>
      <w:r>
        <w:rPr>
          <w:b/>
          <w:bCs/>
          <w:i/>
          <w:iCs/>
        </w:rPr>
        <w:t xml:space="preserve">Source: </w:t>
      </w:r>
      <w:r>
        <w:rPr>
          <w:i/>
          <w:iCs/>
          <w:color w:val="666666"/>
          <w:sz w:val="19"/>
          <w:szCs w:val="19"/>
        </w:rPr>
        <w:t xml:space="preserve">Phase 1 §5.3, §5.4; Phase 2 §3.3; Phase 4B §1 (thin controllers delegating to guarded application services).</w:t>
      </w:r>
    </w:p>
    <w:p>
      <w:pPr>
        <w:pStyle w:val="Heading1"/>
      </w:pPr>
      <w:r>
        <w:t xml:space="preserve">ADR-013 — Performance Budgets</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Enterprise clinical forms can reach 100+ pages and thousands of controls; without explicit budgets, the canvas and renderer degrade silently as real hospitals adopt the platform.</w:t>
      </w:r>
    </w:p>
    <w:p>
      <w:pPr>
        <w:pStyle w:val="Heading3"/>
      </w:pPr>
      <w:r>
        <w:t xml:space="preserve">Decision</w:t>
      </w:r>
    </w:p>
    <w:p>
      <w:pPr>
        <w:spacing w:after="160"/>
      </w:pPr>
      <w:r>
        <w:t xml:space="preserve">Concrete, testable targets are load-bearing requirements, not aspirations: virtualized canvas rendering (viewport-proportional, not document-proportional cost), a 200-field published form interactive in &lt;2s on hospital LAN, &lt;5s PDF generation for a 10-page submission, and CI-enforced performance tests against a synthetic 2,000-node/100-page schema (Phase 5A §10).</w:t>
      </w:r>
    </w:p>
    <w:p>
      <w:pPr>
        <w:pStyle w:val="Heading3"/>
      </w:pPr>
      <w:r>
        <w:t xml:space="preserve">Consequences</w:t>
      </w:r>
    </w:p>
    <w:p>
      <w:pPr>
        <w:spacing w:after="160"/>
      </w:pPr>
      <w:r>
        <w:t xml:space="preserve">Performance regressions are caught in CI before merge, not discovered in a hospital's production Nursing Assessment form. Trade-off: some architectural decisions (grid-based spatial index over a full R-tree, Phase 5A §3) deliberately favor “simple and fast enough, documented as swappable” over premature optimization.</w:t>
      </w:r>
    </w:p>
    <w:p>
      <w:pPr>
        <w:spacing w:after="240"/>
      </w:pPr>
      <w:r>
        <w:rPr>
          <w:b/>
          <w:bCs/>
          <w:i/>
          <w:iCs/>
        </w:rPr>
        <w:t xml:space="preserve">Source: </w:t>
      </w:r>
      <w:r>
        <w:rPr>
          <w:i/>
          <w:iCs/>
          <w:color w:val="666666"/>
          <w:sz w:val="19"/>
          <w:szCs w:val="19"/>
        </w:rPr>
        <w:t xml:space="preserve">Phase 1 §5.1; Phase 5A §2.1, §10; Phase 6 §4.</w:t>
      </w:r>
    </w:p>
    <w:p>
      <w:pPr>
        <w:pStyle w:val="Heading1"/>
      </w:pPr>
      <w:r>
        <w:t xml:space="preserve">ADR-014 — API Versioning and Compatibility Contract</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REST endpoints will need to evolve; without an explicit contract, breaking changes risk silently breaking Designer or Runtime clients.</w:t>
      </w:r>
    </w:p>
    <w:p>
      <w:pPr>
        <w:pStyle w:val="Heading3"/>
      </w:pPr>
      <w:r>
        <w:t xml:space="preserve">Decision</w:t>
      </w:r>
    </w:p>
    <w:p>
      <w:pPr>
        <w:spacing w:after="160"/>
      </w:pPr>
      <w:r>
        <w:t xml:space="preserve">Use Nest's existing global URI versioning (@Version(), already enabled platform-wide) for any breaking Forms endpoint change. Mutating endpoints support Idempotency-Key for safe retries. Draft/version mutations use explicit optimistic-concurrency checks (If-Match/expectedVersion) returning 409 with current state on conflict. Full OpenAPI/Swagger coverage is a documentation-discipline requirement, reusing the platform's existing Swagger setup.</w:t>
      </w:r>
    </w:p>
    <w:p>
      <w:pPr>
        <w:pStyle w:val="Heading3"/>
      </w:pPr>
      <w:r>
        <w:t xml:space="preserve">Consequences</w:t>
      </w:r>
    </w:p>
    <w:p>
      <w:pPr>
        <w:spacing w:after="160"/>
      </w:pPr>
      <w:r>
        <w:t xml:space="preserve">Clients can rely on documented, versioned, retry-safe, conflict-transparent APIs. Trade-off: every mutating endpoint must be authored with idempotency/concurrency in mind from the start, not retrofitted after an incident.</w:t>
      </w:r>
    </w:p>
    <w:p>
      <w:pPr>
        <w:spacing w:after="240"/>
      </w:pPr>
      <w:r>
        <w:rPr>
          <w:b/>
          <w:bCs/>
          <w:i/>
          <w:iCs/>
        </w:rPr>
        <w:t xml:space="preserve">Source: </w:t>
      </w:r>
      <w:r>
        <w:rPr>
          <w:i/>
          <w:iCs/>
          <w:color w:val="666666"/>
          <w:sz w:val="19"/>
          <w:szCs w:val="19"/>
        </w:rPr>
        <w:t xml:space="preserve">Phase 5A §1.</w:t>
      </w:r>
    </w:p>
    <w:p>
      <w:pPr>
        <w:pStyle w:val="Heading1"/>
      </w:pPr>
      <w:r>
        <w:t xml:space="preserve">ADR-015 — Platform Boundaries — Designer API vs. Runtime API, dynamic-forms as Consumer</w:t>
      </w:r>
    </w:p>
    <w:p>
      <w:pPr>
        <w:spacing w:after="160"/>
      </w:pPr>
      <w:r>
        <w:rPr>
          <w:b/>
          <w:bCs/>
        </w:rPr>
        <w:t xml:space="preserve">Status: </w:t>
      </w:r>
      <w:r>
        <w:rPr>
          <w:b/>
          <w:bCs/>
          <w:color w:val="2E7D32"/>
        </w:rPr>
        <w:t xml:space="preserve">Accepted — Frozen</w:t>
      </w:r>
    </w:p>
    <w:p>
      <w:pPr>
        <w:pStyle w:val="Heading3"/>
      </w:pPr>
      <w:r>
        <w:t xml:space="preserve">Context</w:t>
      </w:r>
    </w:p>
    <w:p>
      <w:pPr>
        <w:spacing w:after="160"/>
      </w:pPr>
      <w:r>
        <w:t xml:space="preserve">Designer traffic (low volume, high payload complexity, strict RBAC) and Runtime traffic (high volume, latency-sensitive, resolved-schema-only) have different operational characteristics; and dynamic-forms as a module must not silently re-absorb responsibilities that belong to the Document Platform.</w:t>
      </w:r>
    </w:p>
    <w:p>
      <w:pPr>
        <w:pStyle w:val="Heading3"/>
      </w:pPr>
      <w:r>
        <w:t xml:space="preserve">Decision</w:t>
      </w:r>
    </w:p>
    <w:p>
      <w:pPr>
        <w:spacing w:after="160"/>
      </w:pPr>
      <w:r>
        <w:t xml:space="preserve">Routes are partitioned into /forms/designer/... and /forms/runtime/... namespaces, both served by application services in dynamic-forms that delegate to Document Platform services (Document Engine, Workflow Engine, Notification Engine, Resolver, Rule Engine, Variables Engine, Theme Engine, Asset Library) for every cross-cutting concern. Controllers stay thin (HTTP concerns only); no controller or application service reimplements versioning, workflow, or notification logic itself.</w:t>
      </w:r>
    </w:p>
    <w:p>
      <w:pPr>
        <w:pStyle w:val="Heading3"/>
      </w:pPr>
      <w:r>
        <w:t xml:space="preserve">Consequences</w:t>
      </w:r>
    </w:p>
    <w:p>
      <w:pPr>
        <w:spacing w:after="160"/>
      </w:pPr>
      <w:r>
        <w:t xml:space="preserve">Caching, rate-limiting, and RBAC policy can differ cleanly between the two namespaces. Any future second Application (Consent Forms, etc.) can reuse the identical platform services dynamic-forms already proved out. Trade-off: this discipline must be enforced by code review (Phase 4B §9.1) since NestJS will not itself prevent a shortcut.</w:t>
      </w:r>
    </w:p>
    <w:p>
      <w:pPr>
        <w:spacing w:after="240"/>
      </w:pPr>
      <w:r>
        <w:rPr>
          <w:b/>
          <w:bCs/>
          <w:i/>
          <w:iCs/>
        </w:rPr>
        <w:t xml:space="preserve">Source: </w:t>
      </w:r>
      <w:r>
        <w:rPr>
          <w:i/>
          <w:iCs/>
          <w:color w:val="666666"/>
          <w:sz w:val="19"/>
          <w:szCs w:val="19"/>
        </w:rPr>
        <w:t xml:space="preserve">Phase 4B §1; Phase 5A §1.6.</w:t>
      </w:r>
    </w:p>
    <w:p>
      <w:pPr>
        <w:pStyle w:val="Heading1"/>
      </w:pPr>
      <w:r>
        <w:t xml:space="preserve">Amendment Process</w:t>
      </w:r>
    </w:p>
    <w:p>
      <w:pPr>
        <w:spacing w:after="160"/>
      </w:pPr>
      <w:r>
        <w:t xml:space="preserve">These ADRs are frozen as of Phase 6 approval. To change one:</w:t>
      </w:r>
    </w:p>
    <w:p>
      <w:pPr>
        <w:pStyle w:val="ListParagraph"/>
        <w:numPr>
          <w:ilvl w:val="0"/>
          <w:numId w:val="3"/>
        </w:numPr>
        <w:spacing w:after="60"/>
      </w:pPr>
      <w:r>
        <w:t xml:space="preserve">Identify the specific ADR(s) affected and the concrete implementation issue that reveals a genuine flaw — architectural taste alone does not justify a change once the roadmap is approved.</w:t>
      </w:r>
    </w:p>
    <w:p>
      <w:pPr>
        <w:pStyle w:val="ListParagraph"/>
        <w:numPr>
          <w:ilvl w:val="0"/>
          <w:numId w:val="3"/>
        </w:numPr>
        <w:spacing w:after="60"/>
      </w:pPr>
      <w:r>
        <w:t xml:space="preserve">Draft a superseding ADR (e.g., ADR-016) stating what changes, why the original decision no longer holds, and the migration impact on anything already built against it.</w:t>
      </w:r>
    </w:p>
    <w:p>
      <w:pPr>
        <w:pStyle w:val="ListParagraph"/>
        <w:numPr>
          <w:ilvl w:val="0"/>
          <w:numId w:val="3"/>
        </w:numPr>
        <w:spacing w:after="60"/>
      </w:pPr>
      <w:r>
        <w:t xml:space="preserve">Get the superseding ADR explicitly approved before implementation deviates from the original decision — no silent erosion via a “just this once” shortcut in code.</w:t>
      </w:r>
    </w:p>
    <w:p>
      <w:pPr>
        <w:pStyle w:val="Heading1"/>
      </w:pPr>
      <w:r>
        <w:t xml:space="preserve">Reserved Future Direction (Not Designed, Not Approved for Building)</w:t>
      </w:r>
    </w:p>
    <w:p>
      <w:pPr>
        <w:spacing w:after="160"/>
      </w:pPr>
      <w:r>
        <w:rPr>
          <w:i/>
          <w:iCs/>
        </w:rPr>
        <w:t xml:space="preserve">Named for continuity, not scoped: Phase 7 — AI Studio (prompt-to-form generation, OCR import, AI suggestions); Phase 8 — Collaboration (real-time editing, presence, live cursors); Phase 9 — Mobile Designer (tablet-based design, not just tablet runtime); Phase 10 — Marketplace (templates/plugins/themes/medical components/document packs/workflow packs, building on the Component Marketplace concept reserved in Phase 6 §1.6). None of these are scoped, designed, or approved — they require explicit future planning before any implementation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HDSP Healthcare Document Studio | Architecture Decision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2026-07-05T11:02:22.612Z</dcterms:created>
  <dcterms:modified xsi:type="dcterms:W3CDTF">2026-07-05T11:02:22.612Z</dcterms:modified>
</cp:coreProperties>
</file>

<file path=docProps/custom.xml><?xml version="1.0" encoding="utf-8"?>
<Properties xmlns="http://schemas.openxmlformats.org/officeDocument/2006/custom-properties" xmlns:vt="http://schemas.openxmlformats.org/officeDocument/2006/docPropsVTypes"/>
</file>