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2E75B6"/>
          <w:sz w:val="30"/>
          <w:szCs w:val="30"/>
        </w:rPr>
        <w:t xml:space="preserve">HDSP</w:t>
      </w:r>
    </w:p>
    <w:p>
      <w:pPr>
        <w:spacing w:after="300"/>
        <w:jc w:val="center"/>
      </w:pPr>
      <w:r>
        <w:rPr>
          <w:b/>
          <w:bCs/>
          <w:color w:val="1F3864"/>
          <w:sz w:val="56"/>
          <w:szCs w:val="56"/>
        </w:rPr>
        <w:t xml:space="preserve">Document Platform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Dynamic Forms — the first Document Platform consumer</w:t>
      </w:r>
    </w:p>
    <w:p>
      <w:pPr>
        <w:spacing w:after="800"/>
        <w:jc w:val="center"/>
      </w:pPr>
      <w:r>
        <w:rPr>
          <w:sz w:val="28"/>
          <w:szCs w:val="28"/>
        </w:rPr>
        <w:t xml:space="preserve">Phase 4B — Business APIs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Document Version 1.0  |  Draft for Approval</w:t>
      </w:r>
    </w:p>
    <w:p>
      <w:pPr>
        <w:spacing w:after="100"/>
        <w:jc w:val="center"/>
      </w:pPr>
      <w:r>
        <w:rPr>
          <w:sz w:val="22"/>
          <w:szCs w:val="22"/>
        </w:rPr>
        <w:t xml:space="preserve">Builds on approved Phase 1–4A (all approved 5 July 2026)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5 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Mandate for This Phase</w:t>
      </w:r>
    </w:p>
    <w:p>
      <w:pPr>
        <w:spacing w:after="160"/>
      </w:pPr>
      <w:r>
        <w:t xml:space="preserve">Phase 4A shipped the document-platform infrastructure with no controllers and no business logic. Phase 4B implements the REST business layer for the 'form' Document Type only, strictly as a consumer of Phase 4A's platform services. Five additional platform capabilities are folded in here because they touch the API/service boundary directly; all five are designed to not add complexity to the initial 'form' implementation — they are seams, not new mandatory behavior.</w:t>
      </w:r>
    </w:p>
    <w:p>
      <w:pPr>
        <w:pStyle w:val="Heading2"/>
      </w:pPr>
      <w:r>
        <w:t xml:space="preserve">0.1 Five Additional Capabilities Mandated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belongs at this boundary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Service abstraction over BullMQ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4B endpoint that triggers async work (PDF, notification dispatch, analytics aggregation) must go through one JobService interface, not call @InjectQueue directly per service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Searchable document metadata &amp; indexing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List/search endpoints (GET /forms/templates, GET /forms/submissions) need real filtering beyond JSONB containment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Feature-flag hooks for licensed capabilities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Some 4B endpoints (e.g., medical diagram components, multi-branch overrides) should be gate-able as licensed add-ons at the endpoint layer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Versioned Plugin SDK contract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/forms/component-registry and plugin activation endpoints need to report/enforce SDK compatibility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Reserved FHIR extension points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Import/export endpoints (Phase 1 §4.7) need adapter seams reserved now so Questionnaire/QuestionnaireResponse/Composition/DocumentReference support is additive later</w:t>
            </w:r>
          </w:p>
        </w:tc>
      </w:tr>
    </w:tbl>
    <w:p>
      <w:pPr>
        <w:pStyle w:val="Heading1"/>
      </w:pPr>
      <w:r>
        <w:t xml:space="preserve">1. Layering Discipline — Thin Controllers, Application Services, Platform Services</w:t>
      </w:r>
    </w:p>
    <w:p>
      <w:pPr>
        <w:spacing w:after="160"/>
      </w:pPr>
      <w:r>
        <w:t xml:space="preserve">Every 4B controller follows one shape: parse/validate the HTTP request (DTOs, guards), call exactly one application service method, return its result. No business rule, no direct repository/entity access, no direct BullMQ/queue call ever appears in a controller.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@Controller('forms/templates')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@UseGuards(JwtAuthGuard, PermissionsGuard, LicenseGuard)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class FormTemplatesController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constructor(private readonly appService: FormTemplateApplicationService) {}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@Post()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@RequirePermissions('FORMS:TEMPLATE:CREATE')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@Audit({ action: 'FORMS_TEMPLATE_CREATE', module: 'FORMS', entityType: 'document' })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create(@Body() dto: CreateFormTemplateDto, @CurrentUser() user: User)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this.appService.createTemplate(dto, user);   // &lt;-- controller does nothing else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@Post(':id/versions/:versionId/publish')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@RequirePermissions('FORMS:TEMPLATE:PUBLISH')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@Audit({ action: 'FORMS_TEMPLATE_PUBLISH', module: 'FORMS', entityType: 'document_version' })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publish(@Param('id') id: string, @Param('versionId') versionId: string, @CurrentUser() user: User)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this.appService.publishVersion(id, versionId, user);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1.1 Application Service Responsibility</w:t>
      </w:r>
    </w:p>
    <w:p>
      <w:pPr>
        <w:spacing w:after="160"/>
      </w:pPr>
      <w:r>
        <w:t xml:space="preserve">FormTemplateApplicationService (and its siblings — FormSubmissionApplicationService, FormOverrideApplicationService, FormDataSourceApplicationService) is where 'form' business rules live: which document-platform services to call, in what order, and how to translate form-specific DTOs into the generic document-platform contracts (Phase 4A §2.1's DocumentTypeDefinition, §9's registration).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@Injectable()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class FormTemplateApplicationService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private readonly documentService: DocumentService,              // platform, Phase 4A §2.2/§8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private readonly workflowEngine: WorkflowEngineService,           // platform, Phase 4A §3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private readonly notificationEngine: NotificationEngineService,   // platform, Phase 4A §4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private readonly resolverService: DocumentResolverService,        // platform, Phase 4A §2.2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private readonly analyticsService: AnalyticsService,               // platform, Phase 4A §6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private readonly jobService: JobService,                           // §2 below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 {}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async publishVersion(documentId: string, versionId: string, actor: User)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instance = await this.workflowEngine.getInstanceFor(versionId);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this.workflowEngine.fireTransition(instance.id, 'publish', actor);   // Phase 4A §3.3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published = await this.documentService.markPublished(documentId, versionId); // Phase 4A §2.2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this.notificationEngine.emit('workflow.transition.published', { documentId, versionId, actor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published;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>No form-specific versioning, workflow-state, or notification logic is written inside FormTemplateApplicationService beyond orchestration — every actual state change happens inside a Phase 4A platform service call. This is the concrete enforcement of the layering mandate.</w:t>
      </w:r>
    </w:p>
    <w:p>
      <w:pPr>
        <w:pStyle w:val="Heading1"/>
      </w:pPr>
      <w:r>
        <w:t xml:space="preserve">2. Job Service Abstraction over BullMQ</w:t>
      </w:r>
    </w:p>
    <w:p>
      <w:pPr>
        <w:spacing w:after="160"/>
      </w:pPr>
      <w:r>
        <w:t xml:space="preserve">A single interface wraps BullMQ so application services never call @InjectQueue directly — mirrors the existing HDSP precedent of wrapping infrastructure behind a service (e.g., OraclePoolService wraps the Oracle connection, BranchService wraps Oracle+Redis caching).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interface JobService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enqueue&lt;T&gt;(queueName: string, jobName: string, payload: T, opts?: JobOptions): Promise&lt;JobHandle&gt;;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getStatus(handle: JobHandle): Promise&lt;JobStatus&gt;;    // 'queued' | 'active' | 'completed' | 'failed'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onCompleted(queueName: string, handler: (job) =&gt; void): void;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onFailed(queueName: string, handler: (job, err) =&gt; void): void;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@Injectable()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class BullMqJobService implements JobService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wraps @nestjs/bull Queue instances registered per queue name, same BullModule.registerQueue()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convention already used by Loyalty/Audit (Phase 1 conventions audit)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form-pdf.service, form-signature notification dispatch, and analytics aggregation jobs (Phase 4A §6) all call jobService.enqueue(...) — none of them import @nestjs/bull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seam that lets HDSP later swap BullMQ for a different job runner (e.g., if a future platform-wide job system is introduced) by writing one new JobService implementation, with zero change to any calling service.</w:t>
      </w:r>
    </w:p>
    <w:p>
      <w:pPr>
        <w:pStyle w:val="Heading1"/>
      </w:pPr>
      <w:r>
        <w:t xml:space="preserve">3. Searchable Document Metadata and Indexing</w:t>
      </w:r>
    </w:p>
    <w:p>
      <w:pPr>
        <w:spacing w:after="160"/>
      </w:pPr>
      <w:r>
        <w:t xml:space="preserve">Extends Phase 4A's generic documents/document_versions schema (which already has a GIN index on the JSONB payload) with a dedicated, denormalized search table — because “find all published Nursing Assessment forms containing a Signature field, in Branch B, updated this month” is a filtering pattern JSONB containment alone answers poorly at scale.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document_search_index 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document_id         UUID PRIMARY KEY REFERENCES documents(id),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document_type_id     VARCHAR(50) NOT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                 VARCHAR(200) NOT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category              VARCHAR(50),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tags                  TEXT[],                 -- admin-assigned free-form tags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current_status        VARCHAR(20),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component_types_used  TEXT[],                 -- e.g. ARRAY['signature','body-diagram','table'] —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-- populated from Component Registry usage at save time (Phase 4A §5.3)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branch_ids            TEXT[],                 -- which branches have a published override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TIMESTAMPTZ NOT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search_vector         TSVECTOR                -- full text search over name + tags + category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idx_dsi_fts ON document_search_index USING GIN (search_vector);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idx_dsi_components ON document_search_index USING GIN (component_types_used);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idx_dsi_tags ON document_search_index USING GIN (tags);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kept in sync by a trigger-free approach: DocumentService.markPublished()/saveDraft() upserts this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row explicitly (Phase 1 conventions favor explicit service-layer writes over DB triggers)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/forms/templates supports query params (q, category, tags, componentTypes, branchId, status) all served by this table, keeping the hot JSONB payload column out of ordinary list/search queries entirely.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table is generic (document_id, document_type_id) — any future document type (Prescription, Certificate) benefits from the same search capability without its own index table.</w:t>
      </w:r>
    </w:p>
    <w:p>
      <w:pPr>
        <w:pStyle w:val="Heading1"/>
      </w:pPr>
      <w:r>
        <w:t xml:space="preserve">4. Feature-Flag Hooks for Licensed Capabilities</w:t>
      </w:r>
    </w:p>
    <w:p>
      <w:pPr>
        <w:spacing w:after="160"/>
      </w:pPr>
      <w:r>
        <w:t xml:space="preserve">HDSP's existing licensing model (backend/src/modules/licensing) gates at whole-module granularity: @RequireModule('LOYALTY') + LicenseGuard checks status.licensedModules.includes(moduleCode). Phase 4B needs finer granularity — e.g., a hospital licensed for “FORMS” overall might not be licensed for the “Medical Diagrams” or “Multi-Branch Overrides” add-on tier. Rather than building a new licensing system, this extends the existing LicenseService/LicenseGuard pattern with one additional metadata dimension.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FEATURE_KEY = 'required_feature';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RequireFeature = (featureCode: string) =&gt; SetMetadata(FEATURE_KEY, featureCode);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LicenseGuard (existing) is extended, not replaced: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status.licensedFeatures: string[]  — new field on the existing license status response,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e.g. ['FORMS_MEDICAL_DIAGRAMS', 'FORMS_MULTI_BRANCH_OVERRIDE']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LicenseGuard.canActivate additionally checks @RequireFeature the same way it already checks @RequireModule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feature code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Gates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FORMS_MEDICAL_DIAGRAMS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Body/Dental/Burn/Eye/Ear/Orthopedic/Pregnancy/Skin diagram components (Phase 1 §4.2) in the palette and registry lookup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FORMS_MULTI_BRANCH_OVERRIDE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Branch/department override endpoints (Phase 2 §4) — a single-branch hospital may not need or be licensed for this tier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FORMS_ADVANCED_WORKFLOW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Configuring a non-default WorkflowDefinition (Phase 4A §3) beyond the seeded 6-state flow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FORMS_PLUGIN_INSTALL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Activating any plugin beyond the built-in component set (Phase 3 §5)</w:t>
            </w:r>
          </w:p>
        </w:tc>
      </w:tr>
    </w:tbl>
    <w:p>
      <w:pPr>
        <w:spacing w:after="160"/>
      </w:pPr>
      <w:r>
        <w:t xml:space="preserve">This is opt-in metadata on top of an already-working guard — a hospital with no feature restrictions configured simply has status.licensedFeatures include everything, so this adds zero behavior change for the common case, per the non-goal of increasing initial complexity.</w:t>
      </w:r>
    </w:p>
    <w:p>
      <w:pPr>
        <w:pStyle w:val="Heading1"/>
      </w:pPr>
      <w:r>
        <w:t xml:space="preserve">5. Versioned Plugin SDK Contract</w:t>
      </w:r>
    </w:p>
    <w:p>
      <w:pPr>
        <w:spacing w:after="160"/>
      </w:pPr>
      <w:r>
        <w:t xml:space="preserve">Extends the Phase 3 §5.1 FormBuilderPlugin manifest with an explicit SDK compatibility declaration, so the platform can evolve the ComponentDefinition/plugin contract over time without silently breaking older plugins.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FormBuilderPlugin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string; displayName: string; version: string;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sdkVersion: string;      // NEW — semver range this plugin was built against, e.g. '^1.0.0'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...                       // components/templates/validators/etc. as defined in Phase 3 §5.1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@Injectable()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class PluginCompatibilityService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private readonly currentSdkVersion = '1.0.0';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check(plugin: FormBuilderPlugin): CompatibilityResult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semver range check; INCOMPATIBLE plugins are listed but not activatable,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with a clear reason surfaced to the hospital admin — never a silent partial load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Plugin activation (Phase 3 §5.2) runs this check before merging contributions into the live Component Registry; an incompatible plugin fails activation with a specific, actionable error rather than corrupting the registry.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SDK version is bumped only on breaking changes to the ComponentDefinition/plugin contract itself, not on ordinary platform feature releases — this is a deliberate, narrow versioning axis.</w:t>
      </w:r>
    </w:p>
    <w:p>
      <w:pPr>
        <w:pStyle w:val="Heading1"/>
      </w:pPr>
      <w:r>
        <w:t xml:space="preserve">6. Reserved Extension Points for FHIR</w:t>
      </w:r>
    </w:p>
    <w:p>
      <w:pPr>
        <w:spacing w:after="160"/>
      </w:pPr>
      <w:r>
        <w:t xml:space="preserve">Not implemented in v1 (per Phase 1 §2.2/§6.4 — FHIR remains future-ready, not built), but Phase 4B's import/export endpoints are shaped now so a FHIR adapter is additive later, never a redesign.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FHIR Resource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Maps to (already-built HDSP concept)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Reserved seam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Questionnaire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FormSchema (Phase 2 §5.1–§5.2)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SchemaExporter/SchemaImporter interface (Phase 3 §5.1) — a future FhirQuestionnaireExporter implements the same contract as the existing JSON exporter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QuestionnaireResponse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document_instances.answers (Phase 4A §2.2)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future FhirQuestionnaireResponseExporter reads the same answers JSONB already produced by form-submission.service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multi-section clinical document (e.g., Nursing Assessment's pages/sections)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Maps naturally onto documents + document_versions once a document type models Composition-like structure; no schema change needed, just a new document_type_id and a FHIR-facing adapter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DocumentReference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generic documents entity itself (Phase 4A §2.2)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DocumentReference exporter is effectively a metadata projection of documents + document_search_index (§3) — already has everything a DocumentReference needs (type, status, dates, content location)</w:t>
            </w:r>
          </w:p>
        </w:tc>
      </w:tr>
    </w:tbl>
    <w:p>
      <w:pPr>
        <w:spacing w:after="160"/>
      </w:pPr>
      <w:r>
        <w:t xml:space="preserve">No FHIR library dependency, endpoint, or data model change ships in Phase 4B. This section exists purely so future implementers don't have to re-derive where FHIR resources would attach — the seams (SchemaExporter/Importer interface, generic documents/document_instances shape) already exist as a byproduct of Phase 2–4A design decisions.</w:t>
      </w:r>
    </w:p>
    <w:p>
      <w:pPr>
        <w:pStyle w:val="Heading1"/>
      </w:pPr>
      <w:r>
        <w:t xml:space="preserve">7. dynamic-forms Module Structure (Phase 4B)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backend/src/modules/dynamic-forms/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dynamic-forms.module.ts        registers 'form' DocumentType (Phase 4A §9) on module init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controllers/                    thin, per §1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form-templates.controller.ts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form-template-overrides.controller.ts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form-submissions.controller.ts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form-data-sources.controller.ts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form-component-registry.controller.ts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form-plugins.controller.ts        NEW — install/activate/deactivate, uses PluginCompatibilityService (§5)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application-services/           form-specific orchestration only, per §1.1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form-template-application.service.ts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form-submission-application.service.ts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form-override-application.service.ts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form-data-source-application.service.ts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validators/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form-schema.validator.ts     the DocumentTypeDefinition.schemaValidator for 'form' (Phase 4A §2.1)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pdf/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form-pdf-renderer.ts          the DocumentTypeDefinition.pdfRenderer for 'form'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dto/</w:t>
      </w:r>
    </w:p>
    <w:p>
      <w:pPr>
        <w:pStyle w:val="Heading1"/>
      </w:pPr>
      <w:r>
        <w:t xml:space="preserve">8. API Surface — Controller → Application Service → Platform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00"/>
        <w:gridCol w:w="3260"/>
      </w:tblGrid>
      <w:tr>
        <w:trPr>
          <w:tblHeader/>
        </w:trP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Application Service Method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 Services Used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/forms/templates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createTemplate()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DocumentService (Phase 4A §2.2), DocumentSearchIndexService (§3)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/forms/templates (search/filter)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listTemplates()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DocumentSearchIndexService (§3)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/forms/templates/:id/versions/:vId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saveDraft()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DocumentService, JobService (autosave debounce ack)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.../submit-review, /approve, /publish, /rollback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transition helpers (per §1.1 example)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WorkflowEngineService (Phase 4A §3), NotificationEngineService (§4), DocumentService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.../versions/compare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compareVersions()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DocumentService (generic version diff)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POST/PUT .../overrides, .../overrides/:id/publish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override application service methods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DocumentResolverService, WorkflowEngineService, NotificationEngineService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.../resolve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resolveEffectiveSchema()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DocumentResolverService (Phase 4A §2.2/Phase 2 §4.3)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/forms/component-registry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listComponents()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Registry (Phase 4A §7), PluginCompatibilityService (§5)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/forms/plugins/:id/activate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activatePlugin()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PluginCompatibilityService (§5), Component Registry, NotificationEngineService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/forms/submissions, PUT .../:id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submission application service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DocumentService (document_instances), AnalyticsService (usage events, Phase 4A §6)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.../:id/signatures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captureSignature()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DocumentSignatureService / ISignatureProvider (Phase 2 §6 / Phase 4A §2.2)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.../:id/finalize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finalizeSubmission()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 Engine (server re-validation, Phase 2 §3.3), WorkflowEngineService if finalize is itself a workflow step, AnalyticsService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.../:id/pdf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requestPdf() / pollPdf()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JobService (§2), generic PDF rendering (Phase 4A §2.1/§2.3)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GET/POST/PUT /forms/data-sources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source application service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DocumentService-adjacent CRUD, no platform versioning needed (data sources aren't versioned documents)</w:t>
            </w:r>
          </w:p>
        </w:tc>
      </w:tr>
    </w:tbl>
    <w:p>
      <w:pPr>
        <w:pStyle w:val="Heading1"/>
      </w:pPr>
      <w:r>
        <w:t xml:space="preserve">9. Phase 4B Risks and Definition of Done</w:t>
      </w:r>
    </w:p>
    <w:p>
      <w:pPr>
        <w:pStyle w:val="Heading2"/>
      </w:pPr>
      <w:r>
        <w:t xml:space="preserve">9.1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services could become a dumping ground that re-implements platform logic “just this once”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review checklist item for Phase 4B: any application service method with more than orchestration (loops calling platform services, translating DTOs) is a design smell to flag immediately, not after merge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index table (§3) drifting out of sync with documents/document_versions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Upsert happens synchronously within the same service call/transaction that changes status (§1.1 example), not via an async job, so it can never lag behind the authoritative row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Feature-flag checks (§4) sprinkled ad hoc across controllers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@RequireFeature decorator + LicenseGuard extension only — no per-endpoint bespoke license-checking code permitted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FHIR seams (§6) tempting scope creep into partial FHIR implementation now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Explicitly restated as a mapping table only — no FHIR package dependency or endpoint ships in Phase 4B</w:t>
            </w:r>
          </w:p>
        </w:tc>
      </w:tr>
    </w:tbl>
    <w:p>
      <w:pPr>
        <w:pStyle w:val="Heading2"/>
      </w:pPr>
      <w:r>
        <w:t xml:space="preserve">9.2 Definition of Done — Phase 4B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controllers reviewed and confirmed thin (§1) — no controller contains business logic beyond guard/DTO/response shaping.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JobService abstraction implemented and used by every async-triggering application service; no direct @InjectQueue usage inside dynamic-forms (§2).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document_search_index implemented, kept synchronously consistent, and backing all list/search/filter endpoints (§3).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@RequireFeature + LicenseGuard extension implemented and applied to the capabilities in §4's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Plugin SDK versioning and PluginCompatibilityService implemented and enforced at activation (§5).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FHIR mapping table reviewed and accepted as documentation-only, no premature implementation (§6).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API surface (§8) implemented, each endpoint's application service verified to delegate to the correct Phase 4A platform service.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Upon approval, Phase 5A (Designer Infrastructure: scene graph, canvas, event bus, command stack, viewport, selection, layers, history, property panel, palette) begins, followed by Phase 5B (Component &amp; Runtime Implementation).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HDSP — Document Platform | Phase 4B Business APIs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2026-07-05T10:40:38.093Z</dcterms:created>
  <dcterms:modified xsi:type="dcterms:W3CDTF">2026-07-05T10:40:38.093Z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