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2E75B6"/>
          <w:sz w:val="30"/>
          <w:szCs w:val="30"/>
        </w:rPr>
        <w:t xml:space="preserve">HDSP</w:t>
      </w:r>
    </w:p>
    <w:p>
      <w:pPr>
        <w:spacing w:after="300"/>
        <w:jc w:val="center"/>
      </w:pPr>
      <w:r>
        <w:rPr>
          <w:b/>
          <w:bCs/>
          <w:color w:val="1F3864"/>
          <w:sz w:val="56"/>
          <w:szCs w:val="56"/>
        </w:rPr>
        <w:t xml:space="preserve">Document Platform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Dynamic Forms — the first application on the platform</w:t>
      </w:r>
    </w:p>
    <w:p>
      <w:pPr>
        <w:spacing w:after="800"/>
        <w:jc w:val="center"/>
      </w:pPr>
      <w:r>
        <w:rPr>
          <w:sz w:val="26"/>
          <w:szCs w:val="26"/>
        </w:rPr>
        <w:t xml:space="preserve">Phase 5A — Designer Infrastructure (Canvas Engine as Core Product)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Document Version 1.0  |  Draft for Approval</w:t>
      </w:r>
    </w:p>
    <w:p>
      <w:pPr>
        <w:spacing w:after="100"/>
        <w:jc w:val="center"/>
      </w:pPr>
      <w:r>
        <w:rPr>
          <w:sz w:val="22"/>
          <w:szCs w:val="22"/>
        </w:rPr>
        <w:t xml:space="preserve">Builds on approved Phase 1–4B (all approved 5 July 2026)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5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Mandate for This Phase</w:t>
      </w:r>
    </w:p>
    <w:p>
      <w:pPr>
        <w:spacing w:after="160"/>
      </w:pPr>
      <w:r>
        <w:t xml:space="preserve">With Phase 4B approved, the platform framing is now explicit: this is the foundation of a Healthcare Low-Code Document Platform, with Dynamic Patient Forms as its first application. Phase 5A carries that seriousness into the frontend: the canvas, scene graph, interaction model, and command system are the core product — engineered with the rigor of a standalone product (comparable to Figma's or Miro's canvas engine), not built as an afterthought bolted onto a web form. React's role is deliberately narrowed to orchestrating chrome (toolbars, inspectors, dialogs, side panels); it never owns the canvas's authoritative state.</w:t>
      </w:r>
    </w:p>
    <w:p>
      <w:pPr>
        <w:spacing w:after="160"/>
      </w:pPr>
      <w:r>
        <w:t xml:space="preserve">Two additional mandates apply to this phase: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1 is an API-hardening addendum retrofitted onto the already-approved Phase 4B contract: versioning, idempotency, optimistic concurrency, bulk-operation readiness, complete OpenAPI generation, and an explicit Designer-API vs Runtime-API split.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Everything from Section 2 onward treats the canvas engine as a framework-agnostic package that could, in principle, ship without React at all — React is one possible host, not a dependency of the engine.</w:t>
      </w:r>
    </w:p>
    <w:p>
      <w:pPr>
        <w:pStyle w:val="Heading1"/>
      </w:pPr>
      <w:r>
        <w:t xml:space="preserve">1. API Hardening Addendum to Phase 4B</w:t>
      </w:r>
    </w:p>
    <w:p>
      <w:pPr>
        <w:spacing w:after="160"/>
      </w:pPr>
      <w:r>
        <w:t xml:space="preserve">Confirmed against the real backend before writing this: NestJS URI-based API versioning is already globally enabled (backend/src/main.ts: app.enableVersioning({ type: VersioningType.URI, defaultVersion: '1' })) and @nestjs/swagger is already wired up, serving live OpenAPI docs at {prefix}/docs. This section applies those existing platform capabilities thoroughly to the Forms API surface, plus adds the concerns Phase 4B didn't yet make explicit.</w:t>
      </w:r>
    </w:p>
    <w:p>
      <w:pPr>
        <w:pStyle w:val="Heading2"/>
      </w:pPr>
      <w:r>
        <w:t xml:space="preserve">1.1 API Versioning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Forms controller/route uses Nest's existing @Version('1') mechanism (already global default); a future breaking change to a Forms endpoint ships as @Version('2') on that specific route, never a parallel URL scheme.</w:t>
      </w:r>
    </w:p>
    <w:p>
      <w:pPr>
        <w:pStyle w:val="Heading2"/>
      </w:pPr>
      <w:r>
        <w:t xml:space="preserve">1.2 Idempotency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Mutating endpoints most exposed to retry-related double-submission risk — POST publish, POST finalize submission, POST signature capture — accept an Idempotency-Key header; the server stores (key → result) for a bounded TTL (Redis, same infra already used for JWT blacklist/branch cache) and replays the stored result on a duplicate key instead of re-executing the mutation.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@Post(':id/versions/:versionId/publish')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publish(@Headers('idempotency-key') key: string, ...)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cached = await this.idempotency.getIfExists(key);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(cached) return cached;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result = await this.appService.publishVersion(...);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await this.idempotency.store(key, result);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result;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1.3 Optimistic Concurrency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Draft/version mutation endpoints (Phase 2 §7.3, Phase 3 §2.6) formalize their conflict check as an explicit API contract: clients send an If-Match header (or an expectedVersion field in the body) carrying the version token they last read; a mismatch returns 409 Conflict with the current server state attached, which the Designer's conflict dialog (Phase 3 §2.6) consumes directly — no more guessing at concurrency semantics from the response shape alone.</w:t>
      </w:r>
    </w:p>
    <w:p>
      <w:pPr>
        <w:pStyle w:val="Heading2"/>
      </w:pPr>
      <w:r>
        <w:t xml:space="preserve">1.4 Bulk-Operation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Single-resource endpoints (publish/archive/tag one template) are designed so a bulk sibling can be added later without reshaping them: request/response DTOs for single operations are kept as a reusable shape, and list endpoints already return resource IDs suitable for passing into a future POST /forms/templates/bulk-publish { ids: [...] }. No bulk endpoints ship in 5A itself — this is a readiness constraint on the DTO shapes, not new functionality.</w:t>
      </w:r>
    </w:p>
    <w:p>
      <w:pPr>
        <w:pStyle w:val="Heading2"/>
      </w:pPr>
      <w:r>
        <w:t xml:space="preserve">1.5 OpenAPI Completeness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Forms DTO gets @ApiProperty() decorators, every controller method gets @ApiOperation/@ApiResponse, so the existing Swagger UI at /api/v1/docs is a complete, accurate contract for the Forms API — this is a documentation-discipline requirement, not new infrastructure, since the mechanism already exists platform-wide.</w:t>
      </w:r>
    </w:p>
    <w:p>
      <w:pPr>
        <w:pStyle w:val="Heading2"/>
      </w:pPr>
      <w:r>
        <w:t xml:space="preserve">1.6 Designer APIs vs Runtime APIs</w:t>
      </w:r>
    </w:p>
    <w:p>
      <w:pPr>
        <w:spacing w:after="160"/>
      </w:pPr>
      <w:r>
        <w:t xml:space="preserve">The Phase 4B endpoint list is now explicitly partitioned into two route namespaces, reflecting a real difference in caller, cadence, and caching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Namespace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Callers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2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endpoints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/api/v1/forms/designer/...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Builder (Designer canvas)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request volume, high payload complexity (full schema), strict RBAC (Designer/Reviewer/Publisher roles), optimistic-concurrency-sensitive</w:t>
            </w:r>
          </w:p>
        </w:tc>
        <w:tc>
          <w:tcPr>
            <w:tcW w:type="dxa" w:w="2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templates, versions, overrides, compare, publish, component-registry, plugins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/api/v1/forms/runtime/...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Renderer (clinical/admin form-fill)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request volume, latency-sensitive, resolved/cached schema only, broader RBAC (any clinical/reception role), idempotency-sensitive on write</w:t>
            </w:r>
          </w:p>
        </w:tc>
        <w:tc>
          <w:tcPr>
            <w:tcW w:type="dxa" w:w="2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resolve, submissions, signatures, pdf</w:t>
            </w:r>
          </w:p>
        </w:tc>
      </w:tr>
    </w:tbl>
    <w:p>
      <w:pPr>
        <w:spacing w:after="160"/>
      </w:pPr>
      <w:r>
        <w:t xml:space="preserve">This split is a routing/organizational change, not a new module — both namespaces are still served by the single dynamic-forms module (Phase 4B §7), calling the same application services and document-platform services. It exists so caching, rate-limiting, and RBAC policy can differ cleanly between “a designer editing a schema” and “a nurse filling a form,” which is a real operational distinction the flat Phase 4B endpoint list didn't yet surface.</w:t>
      </w:r>
    </w:p>
    <w:p>
      <w:pPr>
        <w:pStyle w:val="Heading1"/>
      </w:pPr>
      <w:r>
        <w:t xml:space="preserve">2. Canvas Engine as Core Product</w:t>
      </w:r>
    </w:p>
    <w:p>
      <w:pPr>
        <w:spacing w:after="160"/>
      </w:pPr>
      <w:r>
        <w:t xml:space="preserve">packages/canvas-engine is a new, standalone, framework-agnostic TypeScript package — no React, no DOM assumptions baked into its core types — that owns everything Phase 3 §2 assigned to the scene graph layer. It is designed, tested, and versioned as if it were a product in its own right, because per this phase's mandate, it is.</w:t>
      </w:r>
    </w:p>
    <w:p>
      <w:pPr>
        <w:pStyle w:val="Heading2"/>
      </w:pPr>
      <w:r>
        <w:t xml:space="preserve">2.1 Package Boundary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packages/canvas-engine/                (framework-agnostic — pure TS, zero React/DOM imports in core)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scene-graph/            SceneNode model, tree ops, serialization to/from FormSchema (§3)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spatial-index/           R-tree/grid index for hit-testing &amp; viewport culling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event-bus/               typed pub/sub (§4)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commands/                Command interface + history stack (§5)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viewport/                camera model: pan/zoom/fit, coordinate transforms (§6)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interaction/             selection, drag, resize, marquee, alignment/snap controllers (§7)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engine.ts                CanvasEngine — the single class that wires the above together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and exposes the only public API surface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packages/canvas-engine-react/            (thin binding layer, DOES depend on React)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CanvasEngineHost.tsx      mounts a CanvasEngine instance into a container ref,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owns nothing itself — a controlled pass-through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useEngineSelector.ts       subscribes a React component to a slice of engine state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(selection, viewport, node list) via the event bus, re-rendering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only that component, not the whole tree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useEngineCommand.ts        dispatches a Command through the engine from a React handler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(e.g., a property panel input's onChange)</w:t>
      </w:r>
    </w:p>
    <w:p>
      <w:pPr>
        <w:pStyle w:val="Heading2"/>
      </w:pPr>
      <w:r>
        <w:t xml:space="preserve">2.2 Why a Separate Package (Not Just a Folder in the Next.js App)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Forces the engine to justify every dependency it takes — if canvas-engine can't compile without React, that's caught at the package boundary, not discovered as an accidental coupling deep in a component.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Makes the engine independently unit-testable in Node (no jsdom, no React Testing Library needed for scene graph/command/event-bus logic — see §10) — this is what lets thousands-of-node performance and correctness be verified without a browser at 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Leaves the door open to a second host later (e.g., a lightweight embeddable viewer) without any engine change, since React is a consumer, not a foundation.</w:t>
      </w:r>
    </w:p>
    <w:p>
      <w:pPr>
        <w:pStyle w:val="Heading2"/>
      </w:pPr>
      <w:r>
        <w:t xml:space="preserve">2.3 CanvasEngine Public API (Illustrative)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CanvasEngine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loadSchema(schema: FormSchema): void;             // scene graph &lt;- FormSchema (Phase 2 §5)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serialize(): FormSchema;                            // scene graph -&gt; FormSchema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dispatch(command: Command): void;                   // §5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undo(): void; redo(): void;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select(nodeIds: string[]): void;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getNodeAt(point: {x:number;y:number}): SceneNode | null;   // spatial index hit-test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getViewport(): ViewportState; setViewport(v: Partial&lt;ViewportState&gt;): void;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on&lt;E extends EngineEventName&gt;(event: E, handler: (payload: EngineEvents[E]) =&gt; void): Unsubscribe;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3. Scene Graph — Implementation Detail</w:t>
      </w:r>
    </w:p>
    <w:p>
      <w:pPr>
        <w:spacing w:after="160"/>
      </w:pPr>
      <w:r>
        <w:t xml:space="preserve">Implements exactly the SceneNode model approved in Phase 3 §2.3, now given concrete data-structure and performance decisions.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Storage: a flat Map&lt;string, SceneNode&gt; keyed by id, plus a parentId-indexed adjacency structure for tree traversal — flat storage (not a nested object tree) so any single node update is O(1) and doesn't require cloning ancestor objects for React-style immutability (the engine is not React state, so it doesn't need to be immutable for rendering purposes).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Spatial index: a grid-based index (uniform buckets sized to a typical component's bounding box) rather than a full R-tree for v1 — simpler to implement correctly and fast enough at the Phase 1 §5.1 target scale (thousands of nodes); documented as swappable for an R-tree later if profiling shows grid cell imbalance at extreme densities.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Serialization: SceneGraph.toFormSchema() / SceneGraph.fromFormSchema() are the only two functions that cross the scene-graph/FormSchema boundary, both implemented once in packages/form-schema (Phase 2's shared package) and imported by canvas-engine — this is what guarantees the engine and the stored JSON Schema never diverge (Phase 2 §7.2 risk mitigation, now concretely assigned to a single function pair).</w:t>
      </w:r>
    </w:p>
    <w:p>
      <w:pPr>
        <w:pStyle w:val="Heading1"/>
      </w:pPr>
      <w:r>
        <w:t xml:space="preserve">4. Event Bus — Implementation Detail</w:t>
      </w:r>
    </w:p>
    <w:p>
      <w:pPr>
        <w:spacing w:after="160"/>
      </w:pPr>
      <w:r>
        <w:t xml:space="preserve">A minimal, dependency-free typed pub/sub inside packages/canvas-engine/event-bus — deliberately not a general message-bus library, since the event set is closed and known (Phase 3 §2.4's table).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 EngineEvents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COMPONENT_ADDED: { node: SceneNode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COMPONENT_REMOVED: { nodeId: string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COMPONENT_MOVED: { nodeId: string; geometry: Geometry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PROPERTY_CHANGED: { nodeId: string; key: string; value: unknown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PAGE_CREATED: { pageId: string }; PAGE_DELETED: { pageId: string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SELECTION_CHANGED: { nodeIds: string[]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VIEWPORT_CHANGED: { viewport: ViewportState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SCHEMA_CHANGED: { schema: FormSchema };   // coarse rollup, debounced — drives autosave (Phase 3 §2.6)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React hooks (useEngineSelector, §2.1) are the only React-side subscribers in v1 — the same bus is the seam Phase 3 §11 reserved for a future real-time collaboration transport, unchanged here.</w:t>
      </w:r>
    </w:p>
    <w:p>
      <w:pPr>
        <w:pStyle w:val="Heading1"/>
      </w:pPr>
      <w:r>
        <w:t xml:space="preserve">5. Command System / Undo-Redo — Implementation Detail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Command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do(engine: CanvasEngine): void;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undo(engine: CanvasEngine): void;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label: string;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mergeWith?(next: Command): Command | null;   // e.g. consecutive drags of the same node merge into one history entry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CommandHistory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private undoStack: Command[] = []; private redoStack: Command[] = [];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dispatch(cmd: Command, engine: CanvasEngine)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top = this.undoStack.at(-1);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merged = top?.mergeWith?.(cmd);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(merged) { this.undoStack[this.undoStack.length-1] = merged; merged.do(engine);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else { cmd.do(engine); this.undoStack.push(cmd);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this.redoStack = [];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undo(engine) { const cmd = this.undoStack.pop(); if (cmd) { cmd.undo(engine); this.redoStack.push(cmd); }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redo(engine) { const cmd = this.redoStack.pop(); if (cmd) { cmd.do(engine); this.undoStack.push(cmd); }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mergeWith is what turns “100 intermediate drag positions” into one undoable “moved component” history entry, without special-casing drag in the history stack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built-in interaction (§7) and every property-panel edit from the React chrome dispatches through this same history — there is no code path that mutates the scene graph without going through a Command, which is what keeps undo/redo, autosave (SCHEMA_CHANGED), and future collaboration replay all consistent by construction.</w:t>
      </w:r>
    </w:p>
    <w:p>
      <w:pPr>
        <w:pStyle w:val="Heading1"/>
      </w:pPr>
      <w:r>
        <w:t xml:space="preserve">6. Viewport and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ViewportState = { x, y, zoom } in engine (world) coordinates; all screen↔world coordinate transforms are pure functions in packages/canvas-engine/viewport, unit-testable without a DOM.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Pan/zoom/fit-to-page/fit-to-width are Commands like anything else (so “reset zoom” is undoable/consistent), except that transient pan/zoom during an active gesture updates viewport state directly (not history-tracked) and only the final settled state is treated as a discrete, mergeable Command — avoids polluting undo history with every intermediate scroll tick.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Rulers and minimap (Phase 1 §4.1) are pure React chrome components that subscribe to VIEWPORT_CHANGED and the node list via useEngineSelector — they read the engine, they never write to it directly except by dispatching the same pan/zoom Commands a mouse gesture would.</w:t>
      </w:r>
    </w:p>
    <w:p>
      <w:pPr>
        <w:pStyle w:val="Heading1"/>
      </w:pPr>
      <w:r>
        <w:t xml:space="preserve">7. Selection and Interaction Controllers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Marquee selection: on pointerdown on empty canvas, an InteractionController computes a selection rect each pointermove, queries the spatial index (§3) for intersecting nodes, and dispatches a SetSelectionCommand on pointerup — the rect itself is transient UI state (owned by the controller, not the scene graph).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Drag/resize: pointerdown on a node's handle starts a MoveComponentCommand/ResizeComponentCommand in a pending state; each pointermove updates geometry directly for live visual feedback and calls the alignment/snap engine (Phase 3 §10) for guide computation; pointerup finalizes the Command into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Keyboard: arrow-key nudge, Tab layer-order focus cycling, Delete, Ctrl/Cmd+C/V/D/Z/Shift+Z, Ctrl/Cmd+G/Shift+G (Phase 3 §13) are all implemented as keyboard-to-Command mappings in the same interaction layer, not duplicated between mouse and keyboard code paths.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interaction controllers live in packages/canvas-engine/interaction and are attached to whatever DOM/pointer-event source the host provides — canvas-engine-react's CanvasEngineHost is what wires real browser pointer events into the engine's interaction layer; a future non-browser host would wire different input events into the same controllers.</w:t>
      </w:r>
    </w:p>
    <w:p>
      <w:pPr>
        <w:pStyle w:val="Heading1"/>
      </w:pPr>
      <w:r>
        <w:t xml:space="preserve">8. React Chrome Layer</w:t>
      </w:r>
    </w:p>
    <w:p>
      <w:pPr>
        <w:spacing w:after="160"/>
      </w:pPr>
      <w:r>
        <w:t xml:space="preserve">Everything in this section is a consumer of the engine via canvas-engine-react's hooks (§2.1) — none of it holds authoritative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Chrome component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Reads from engine via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Writes to engine via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Toolbar (tool selection, zoom controls, undo/redo buttons)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useEngineSelector(viewport, canUndo/canRedo)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useEngineCommand (dispatch pan/zoom/undo/redo Commands)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Layer panel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useEngineSelector(node list + selection, ordered by z-index)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useEngineCommand (select, reorder, lock/hide Commands)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Property panel (Phase 3 §9.2)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useEngineSelector(selected node's props)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useEngineCommand (ChangePropertyCommand per field edit)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palette (Phase 3 §9.1)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Registry (Phase 2 §3) — not engine state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useEngineCommand (AddComponentCommand on drop)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Minimap / rulers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useEngineSelector(viewport, node bounding boxes)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useEngineCommand (pan/zoom on minimap click)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edit mode / accessibility tree view (Phase 3 §13)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useEngineSelector(full node tree)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useEngineCommand (identical Commands to the visual canvas)</w:t>
            </w:r>
          </w:p>
        </w:tc>
      </w:tr>
    </w:tbl>
    <w:p>
      <w:pPr>
        <w:spacing w:after="160"/>
      </w:pPr>
      <w:r>
        <w:t xml:space="preserve">This table is the concrete test of the phase's core instruction: every row's “writes to” column is a Command dispatch, never a direct mutation — if a future chrome component needs to bypass this table to “just quickly update” engine state, that is the signal the design is being violated.</w:t>
      </w:r>
    </w:p>
    <w:p>
      <w:pPr>
        <w:pStyle w:val="Heading1"/>
      </w:pPr>
      <w:r>
        <w:t xml:space="preserve">9. State Management Recap for 5A</w:t>
      </w:r>
    </w:p>
    <w:p>
      <w:pPr>
        <w:spacing w:after="160"/>
      </w:pPr>
      <w:r>
        <w:t xml:space="preserve">Refines Phase 3 §4 now that the engine is a concrete package rather than a conceptual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Lives in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5A refinement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Scene graph, spatial index, command history, viewport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packages/canvas-engine (framework-agnostic)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Confirmed: zero React/Zustand involvement — engine is the single source of truth for design-time document state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tool, panel open/closed, clipboard contents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Zustand (forms-designer.store.ts)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Unchanged from Phase 3 — pure chrome/session UI state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Template/version/override server records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TanStack React Query, against the new /forms/designer/... namespace (§1.6)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 namespace updated; caching/invalidation logic unchanged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selection / node list for chrome rendering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through useEngineSelector, not duplicated into Zustand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in 5A — previously ambiguous in Phase 3, now explicitly not copied into a second store</w:t>
            </w:r>
          </w:p>
        </w:tc>
      </w:tr>
    </w:tbl>
    <w:p>
      <w:pPr>
        <w:pStyle w:val="Heading1"/>
      </w:pPr>
      <w:r>
        <w:t xml:space="preserve">10. Testing Strategy for the Canvas Engine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packages/canvas-engine ships with a full Jest unit-test suite that runs in plain Node — no jsdom, no React — exercising scene graph mutations, command do()/undo()/mergeWith(), event bus subscription/unsubscription, spatial index hit-testing, and FormSchema (de)serialization round-trips.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dedicated performance test loads a synthetic 2,000-node/100-page schema (per Phase 1 §5.1's target) and asserts hit-testing, selection, and serialization complete within budget — run in CI so a future regression is caught before merge, not in production.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canvas-engine-react is tested separately (React Testing Library) only for the binding layer itself — that hooks correctly subscribe/unsubscribe and that CanvasEngineHost correctly forwards pointer/keyboard events into the engine's interaction layer — not for engine logic already covered above.</w:t>
      </w:r>
    </w:p>
    <w:p>
      <w:pPr>
        <w:pStyle w:val="Heading1"/>
      </w:pPr>
      <w:r>
        <w:t xml:space="preserve">11. Phase 5A Risks and Definition of Done</w:t>
      </w:r>
    </w:p>
    <w:p>
      <w:pPr>
        <w:pStyle w:val="Heading2"/>
      </w:pPr>
      <w:r>
        <w:t xml:space="preserve">11.1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Framework-agnostic engine adds upfront complexity vs. "just building it in React"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Accepted deliberately per this phase's mandate — the cost is paid once, in exchange for testability (§10) and long-term performance headroom (Phase 1 §5.1) that a React-owned tree cannot offer at target scale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API namespaces (§1.6) could tempt duplicate business logic between designer/runtime controllers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namespaces call the identical Phase 4B application services (Phase 4B §1) — the split is routing/RBAC/caching only, enforced by code review, not a service-layer fork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Grid-based spatial index (§3) may not scale evenly for very unevenly distributed layouts (e.g., one dense page among many sparse ones)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Documented as a swappable decision; flagged for re-evaluation against real Nursing Assessment-scale content once Phase 5B component implementation provides realistic test data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 key storage (§1.2) adds a new Redis usage pattern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Reuses the existing Redis infrastructure/TTL conventions already used for JWT blacklist and branch caching — no new infra, just a new key namespace</w:t>
            </w:r>
          </w:p>
        </w:tc>
      </w:tr>
    </w:tbl>
    <w:p>
      <w:pPr>
        <w:pStyle w:val="Heading2"/>
      </w:pPr>
      <w:r>
        <w:t xml:space="preserve">11.2 Definition of Done — Phase 5A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hardening addendum (versioning, idempotency, optimistic concurrency, bulk-readiness, OpenAPI completeness, designer/runtime split) reviewed and accepted, ready to retrofit onto Phase 4B controllers (§1).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packages/canvas-engine package boundary, public API, and framework-agnostic constraint accepted (§2).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Scene graph, event bus, and command system implementation details accepted (§3–§5).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Viewport/camera and interaction controller design accepted (§6–§7).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React chrome layer's read/write contract with the engine accepted, with the “every write is a Command” rule explicit (§8).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management recap accepted, confirming no duplicate state stores (§9).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Engine testing strategy (headless, performance-budgeted) accepted (§10).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Upon approval, Phase 5B (Component &amp; Runtime Implementation: Textbox, Dropdown, Tables, Medical Diagrams, Signatures, Rules, Variables, PDF Preview, Plugins) begins, building concrete Component Registry entries (Phase 2 §3) on top of this engine.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HDSP — Document Platform | Phase 5A Designer Infrastructure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2026-07-05T10:45:59.130Z</dcterms:created>
  <dcterms:modified xsi:type="dcterms:W3CDTF">2026-07-05T10:45:59.131Z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