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2E75B6"/>
          <w:sz w:val="30"/>
          <w:szCs w:val="30"/>
        </w:rPr>
        <w:t xml:space="preserve">HDSP</w:t>
      </w:r>
    </w:p>
    <w:p>
      <w:pPr>
        <w:spacing w:after="300"/>
        <w:jc w:val="center"/>
      </w:pPr>
      <w:r>
        <w:rPr>
          <w:b/>
          <w:bCs/>
          <w:color w:val="1F3864"/>
          <w:sz w:val="54"/>
          <w:szCs w:val="54"/>
        </w:rPr>
        <w:t xml:space="preserve">Healthcare Document Studio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Dynamic Forms — the first application on the platform</w:t>
      </w:r>
    </w:p>
    <w:p>
      <w:pPr>
        <w:spacing w:after="800"/>
        <w:jc w:val="center"/>
      </w:pPr>
      <w:r>
        <w:rPr>
          <w:sz w:val="26"/>
          <w:szCs w:val="26"/>
        </w:rPr>
        <w:t xml:space="preserve">Phase 5B — Component &amp; Runtime Implementation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Document Version 1.0  |  Draft for Approval</w:t>
      </w:r>
    </w:p>
    <w:p>
      <w:pPr>
        <w:spacing w:after="100"/>
        <w:jc w:val="center"/>
      </w:pPr>
      <w:r>
        <w:rPr>
          <w:sz w:val="22"/>
          <w:szCs w:val="22"/>
        </w:rPr>
        <w:t xml:space="preserve">Builds on approved Phase 1–5A (all approved 5 July 2026, Phase 5A scored 10/10)</w:t>
      </w:r>
    </w:p>
    <w:p>
      <w:pPr>
        <w:spacing w:after="100"/>
        <w:jc w:val="center"/>
      </w:pPr>
      <w:r>
        <w:rPr>
          <w:sz w:val="22"/>
          <w:szCs w:val="22"/>
        </w:rPr>
        <w:t xml:space="preserve">Date: 5 July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Mandate for This Phase</w:t>
      </w:r>
    </w:p>
    <w:p>
      <w:pPr>
        <w:spacing w:after="160"/>
      </w:pPr>
      <w:r>
        <w:t xml:space="preserve">Phase 5A approved the canvas engine as a framework-agnostic core product. Phase 5B is where the Designer becomes usable — but the user's approval was explicit that no shortcuts are permitted: every component, in every wave, must (1) register through the Component Registry (Phase 2 §3), (2) expose Inspector metadata for automatic property-panel generation (§2, new in this phase), (3) serialize through the shared FormSchema (Phase 2 §5 / Phase 5A §3), (4) participate fully in the command system including the new transaction/serializable variants (§1), and (5) render via the six-stage runtime pipeline (Phase 3 §3) with no component-specific hacks in the engine itself.</w:t>
      </w:r>
    </w:p>
    <w:p>
      <w:pPr>
        <w:spacing w:after="160"/>
      </w:pPr>
      <w:r>
        <w:t xml:space="preserve">Six engine additions (§1) are foundational and land first — informally “Wave 0” — because Inspector Architecture (§2) and every subsequent wave depend on them. Components are then built in five staged waves (§4): Basic → Layout → Advanced → Medical → Enterprise, each wave validating the engine before the next adds complexity.</w:t>
      </w:r>
    </w:p>
    <w:p>
      <w:pPr>
        <w:pStyle w:val="Heading1"/>
      </w:pPr>
      <w:r>
        <w:t xml:space="preserve">1. Engine Foundation Additions ("Wave 0")</w:t>
      </w:r>
    </w:p>
    <w:p>
      <w:pPr>
        <w:pStyle w:val="Heading2"/>
      </w:pPr>
      <w:r>
        <w:t xml:space="preserve">1.1 Serializable Command Stream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interface SerializableCommand extends Command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toJSON(): { type: string; payload: unknown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static fromJSON(json): SerializableCommand;   // per-command-type factory, registered like Component Registry entries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Built-in commands (MoveComponentCommand, ChangePropertyCommand, AddComponentCommand, ...) all implement this.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A CommandStreamRecorder subscribes to CommandHistory.dispatch and appends toJSON() output to an in-memory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(and optionally persisted) stream — this is what backs macro recording, replay, session restore, and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gives automated UI tests a scriptable command sequence instead of simulated pointer events.</w:t>
      </w:r>
    </w:p>
    <w:p>
      <w:pPr>
        <w:pStyle w:val="Heading2"/>
      </w:pPr>
      <w:r>
        <w:t xml:space="preserve">1.2 Transactions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TransactionCommand implements SerializableCommand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constructor(private readonly children: SerializableCommand[], public label: string) {}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do(engine) { this.children.forEach(c =&gt; c.do(engine));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undo(engine) { [...this.children].reverse().forEach(c =&gt; c.undo(engine));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toJSON() { return { type: 'transaction', payload: this.children.map(c =&gt; c.toJSON()) };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Paste of 150 nodes = one TransactionCommand wrapping 150 AddComponentCommands = one undo entry.</w:t>
      </w:r>
    </w:p>
    <w:p>
      <w:pPr>
        <w:pStyle w:val="Heading2"/>
      </w:pPr>
      <w:r>
        <w:t xml:space="preserve">1.3 Scene Graph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SceneValidator runs before every serialize() call (Phase 5A §2.3's serialize() method) and before publish (Phase 4B), checking: orphan nodes (parentId referencing a non-existent node), cyclic parent chains, invalid/duplicate z-index within a page, duplicate node IDs, components referencing a non-existent pageId, and geometry entirely outside its page's bounds.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failures block serialization with a structured error list (node ID + reason), surfaced in the Designer as a non-blocking warning panel for recoverable issues (e.g., an off-page component) and a hard block for structural corruption (duplicate IDs, cycles) — never a silent auto-fix that could lose designer work.</w:t>
      </w:r>
    </w:p>
    <w:p>
      <w:pPr>
        <w:pStyle w:val="Heading2"/>
      </w:pPr>
      <w:r>
        <w:t xml:space="preserve">1.4 Rendering / Performance Metrics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interface EngineMetrics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fps: number; selectionTimeMs: number; hitTestTimeMs: number; renderTimeMs: number;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memoryEstimateBytes: number; spatialIndexNodeCount: number; commandQueueLength: number;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engine.getMetrics(): EngineMetrics;   // sampled continuously, exposed via useEngineSelector for a dev-mode HUD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These feed directly into Phase 4A's Observability service (Phase 4A §5.2's Renderer/Rendering Pipeline card) via a lightweight client-side metrics-reporting beacon — the same metric names are used client-side and server-side so a designer-reported slow session and a server-side aggregate are the same measurement.</w:t>
      </w:r>
    </w:p>
    <w:p>
      <w:pPr>
        <w:pStyle w:val="Heading2"/>
      </w:pPr>
      <w:r>
        <w:t xml:space="preserve">1.5 Extension / Lifecycle Hooks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engine.hooks.register('beforeAddNode', (node) =&gt; { /* plugin can veto or mutate */ });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engine.hooks.register('afterAddNode', (node) =&gt; { /* ... */ });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Also: beforeDelete/afterDelete, beforeSerialize/afterSerialize, beforeUndo/afterRedo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A plugin (Phase 3 §5.1 FormBuilderPlugin) may declare a lifecycleHooks[] contribution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alongside its components[]/templates[]/etc., activated the same way (Phase 3 §5.2).</w:t>
      </w:r>
    </w:p>
    <w:p>
      <w:pPr>
        <w:spacing w:after="160"/>
      </w:pPr>
      <w:r>
        <w:t xml:space="preserve">This directly extends the Plugin SDK (Phase 4B §5) — plugins can now react to editing lifecycle events, not just contribute static definitions, e.g., a Dental Plugin could validate tooth-numbering consistency on afterAddNode without the core engine knowing anything dental-specific.</w:t>
      </w:r>
    </w:p>
    <w:p>
      <w:pPr>
        <w:pStyle w:val="Heading2"/>
      </w:pPr>
      <w:r>
        <w:t xml:space="preserve">1.6 Clipboard Service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interface ClipboardService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copy(nodeIds: string[]): void;   cut(nodeIds: string[]): void;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paste(targetPageId: string, targetPoint?: Point): SerializableCommand;   // returns a TransactionCommand (§1.2)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duplicate(nodeIds: string[]): SerializableCommand;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Internally: deep-clones the selected SceneNode subtree, regenerates all node IDs (and remaps internal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parentId/binding references consistently), supports pasting across pages within the same document,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and is structured so cross-document paste (a documented future capability, not v1) only needs a new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clipboard payload source, not a new paste algorithm.</w:t>
      </w:r>
    </w:p>
    <w:p>
      <w:pPr>
        <w:spacing w:after="160"/>
      </w:pPr>
      <w:r>
        <w:t xml:space="preserve">Ctrl+C/Ctrl+V (Phase 3 §13) now route through ClipboardService instead of ad hoc node duplication logic — this was previously implied but not a named service; it is one in 5B.</w:t>
      </w:r>
    </w:p>
    <w:p>
      <w:pPr>
        <w:pStyle w:val="Heading2"/>
      </w:pPr>
      <w:r>
        <w:t xml:space="preserve">1.7 Optional Future Package Restructure (Noted, Not Required for v1)</w:t>
      </w:r>
    </w:p>
    <w:p>
      <w:pPr>
        <w:spacing w:after="160"/>
      </w:pPr>
      <w:r>
        <w:t xml:space="preserve">The suggestion to split canvas-engine/canvas-engine-react into canvas-core (scene graph/commands/viewport/event bus), canvas-renderer (drawing/selection/hit-testing), canvas-react (bindings only), plus canvas-devtools/canvas-testing is sound and is recorded as the natural next refactor if/when the engine's surface area grows significantly beyond Phase 5B's scope. It is not required for Phase 5B — the current two-package boundary (Phase 5A §2.1) already delivers the framework-agnostic guarantee; the finer split is an organizational optimization for a larger engine, not a correctness requirement today.</w:t>
      </w:r>
    </w:p>
    <w:p>
      <w:pPr>
        <w:pStyle w:val="Heading1"/>
      </w:pPr>
      <w:r>
        <w:t xml:space="preserve">2. Inspector Architecture</w:t>
      </w:r>
    </w:p>
    <w:p>
      <w:pPr>
        <w:spacing w:after="160"/>
      </w:pPr>
      <w:r>
        <w:t xml:space="preserve">The single biggest structural addition this phase. The property panel (Phase 3 §9.2) is no longer hand-built per component type — it is generated from metadata each Component Registry entry declares, exactly mirroring how the Component Registry itself already lets a new component be added by registration (Phase 2 §3.2).</w:t>
      </w:r>
    </w:p>
    <w:p>
      <w:pPr>
        <w:pStyle w:val="Heading2"/>
      </w:pPr>
      <w:r>
        <w:t xml:space="preserve">2.1 Property Schema Contract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interface PropertySchema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sections: PropertySection[];   // General | Appearance | Validation | Logic | Events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// Accessibility | Security(Permissions) | Binding | Advanced (Phase 1 §4.3)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interface PropertySection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id: string; label: string;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fields: PropertyField[];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visibleIf?: (node: SceneNode) =&gt; boolean;   // e.g. hide Validation section for a static Label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interface PropertyField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key: string; label: string;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control: 'text' | 'number' | 'select' | 'color' | 'toggle' | 'expressionBuilder' | 'custom';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options?: SelectOption[];             // for 'select'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customRenderer?: React.ComponentType;   // ONLY for genuinely custom controls (§2.3)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Extends Phase 2 §3.1's ComponentDefinition: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interface ComponentDefinition&lt;TProps, TValue&gt;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...existing fields (id, displayName, DesignerComponent, RendererComponent, validate, serialize, ...)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propertySchema: PropertySchema;    // NEW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2.2 Inspector Generator</w:t>
      </w:r>
    </w:p>
    <w:p>
      <w:pPr>
        <w:spacing w:after="160"/>
      </w:pPr>
      <w:r>
        <w:t xml:space="preserve">A single &lt;InspectorPanel/&gt; React component (part of the chrome layer, Phase 5A §8) reads the selected node's ComponentDefinition.propertySchema and renders sections/fields generically — a Dropdown component's inspector and a Textbox component's inspector are the same generic renderer fed different metadata, not two different hand-built panels.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InspectorPanel({ selectedNode }: { selectedNode: SceneNode })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def = componentRegistry.get(selectedNode.type);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def.propertySchema.sections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.filter(s =&gt; !s.visibleIf || s.visibleIf(selectedNode))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.map(section =&gt; &lt;InspectorSection key={section.id} section={section} node={selectedNode} /&gt;);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2.3 Escape Hatch for Genuinely Custom Controls</w:t>
      </w:r>
    </w:p>
    <w:p>
      <w:pPr>
        <w:spacing w:after="160"/>
      </w:pPr>
      <w:r>
        <w:t xml:space="preserve">Some components need controls the generic field types can't express — e.g., the Body Diagram's hotspot-region editor, or the Table component's column/row editor. These use control: 'custom' with a customRenderer, which is still declared inside the same propertySchema (still discoverable/registered the same way), so even “custom” inspector UI is a metadata-declared extension point, not a parallel property-panel system living outside the registry.</w:t>
      </w:r>
    </w:p>
    <w:p>
      <w:pPr>
        <w:pStyle w:val="Heading2"/>
      </w:pPr>
      <w:r>
        <w:t xml:space="preserve">2.4 Why This Matters</w:t>
      </w:r>
    </w:p>
    <w:p>
      <w:pPr>
        <w:spacing w:after="160"/>
      </w:pPr>
      <w:r>
        <w:t xml:space="preserve">Combined with the Component Registry (Phase 2 §3) and the versioned Plugin SDK (Phase 4B §5), this is what makes “adding a component is a registration exercise” (Phase 2's founding constraint) actually true end-to-end: a plugin author writes a DesignerComponent, RendererComponent, validate/serialize functions, and a propertySchema — and gets a fully functional palette entry, canvas rendering, runtime rendering, and property panel, without touching canvas-engine, the Inspector Generator, or any core chrome code.</w:t>
      </w:r>
    </w:p>
    <w:p>
      <w:pPr>
        <w:pStyle w:val="Heading1"/>
      </w:pPr>
      <w:r>
        <w:t xml:space="preserve">3. Component Contract Recap (Enforced Every Wave)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Registered through the Component Registry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ComponentDefinition entry (Phase 2 §3.1) — no component is wired in ad hoc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Exposes Inspector metadata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propertySchema (§2.1) — no bespoke property panel unless control:'custom' is truly warranted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Serializes through the shared FormSchema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serialize()/deserialize() on the ComponentDefinition (Phase 2 §3.1), producing/consuming ComponentNode (Phase 2 §5.2)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Participates in the command system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designer-side mutations to the component go through Commands (Phase 5A §5), including transactions (§1.2) for multi-node operations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Renders via the runtime pipeline without hacks</w:t>
            </w:r>
          </w:p>
        </w:tc>
        <w:tc>
          <w:tcPr>
            <w:tcW w:type="dxa" w:w="6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RendererComponent is mounted only by the Renderer stage of the six-stage pipeline (Phase 3 §3) — no component reaches into Resolver/Layout/Rule/Permission/Theme stages directly</w:t>
            </w:r>
          </w:p>
        </w:tc>
      </w:tr>
    </w:tbl>
    <w:p>
      <w:pPr>
        <w:spacing w:after="160"/>
      </w:pPr>
      <w:r>
        <w:t xml:space="preserve">This table is the checklist applied to every single component below — a component that can't satisfy all five rows is not considered done, regardless of how it looks.</w:t>
      </w:r>
    </w:p>
    <w:p>
      <w:pPr>
        <w:pStyle w:val="Heading1"/>
      </w:pPr>
      <w:r>
        <w:t xml:space="preserve">4. Staged Component Rollout</w:t>
      </w:r>
    </w:p>
    <w:p>
      <w:pPr>
        <w:pStyle w:val="Heading2"/>
      </w:pPr>
      <w:r>
        <w:t xml:space="preserve">Wave 1 — Basic Components</w:t>
      </w:r>
    </w:p>
    <w:p>
      <w:pPr>
        <w:spacing w:after="160"/>
      </w:pPr>
      <w:r>
        <w:t xml:space="preserve">Label, Textbox, TextArea, Checkbox, Radio, Dropdown.</w:t>
      </w:r>
    </w:p>
    <w:p>
      <w:pPr>
        <w:spacing w:after="160"/>
      </w:pPr>
      <w:r>
        <w:t xml:space="preserve">Validates: the full contract (§3) end-to-end on the simplest possible components — Component Registry registration, generic Inspector rendering for the most common field types (text/select/toggle), FormSchema round-trip, Command participation for property edits, and Renderer-stage mounting. If any part of the engine (Phase 5A) or Inspector Architecture (§2) has a gap, it surfaces here first, cheaply, before medical/enterprise complexity is added.</w:t>
      </w:r>
    </w:p>
    <w:p>
      <w:pPr>
        <w:pStyle w:val="Heading2"/>
      </w:pPr>
      <w:r>
        <w:t xml:space="preserve">Wave 2 — Layout Components</w:t>
      </w:r>
    </w:p>
    <w:p>
      <w:pPr>
        <w:spacing w:after="160"/>
      </w:pPr>
      <w:r>
        <w:t xml:space="preserve">Container, Section, Card, Columns, Tabs, Accordion.</w:t>
      </w:r>
    </w:p>
    <w:p>
      <w:pPr>
        <w:spacing w:after="160"/>
      </w:pPr>
      <w:r>
        <w:t xml:space="preserve">Validates: parent/child nesting in the scene graph (Phase 5A §3), z-order and grouping semantics, and the Layout Engine stage of the runtime pipeline (Phase 3 §3, §10) actually resolving nested/responsive layouts correctly — layout components are the first real stress test of parentId-based nesting beyond simple grouping.</w:t>
      </w:r>
    </w:p>
    <w:p>
      <w:pPr>
        <w:pStyle w:val="Heading2"/>
      </w:pPr>
      <w:r>
        <w:t xml:space="preserve">Wave 3 — Advanced Components</w:t>
      </w:r>
    </w:p>
    <w:p>
      <w:pPr>
        <w:spacing w:after="160"/>
      </w:pPr>
      <w:r>
        <w:t xml:space="preserve">Tables, Repeat Sections, Variables, Rules.</w:t>
      </w:r>
    </w:p>
    <w:p>
      <w:pPr>
        <w:spacing w:after="160"/>
      </w:pPr>
      <w:r>
        <w:t xml:space="preserve">Validates: the Rule Engine (Phase 2 §5.3) and Variables Engine (Phase 3 §8) end-to-end against real components, dynamic/repeating structure serialization (a repeat section's children are templated, not individually stored — see §4.1 below), and calculated-field wiring through the six-stage pipeline.</w:t>
      </w:r>
    </w:p>
    <w:p>
      <w:pPr>
        <w:pStyle w:val="Heading2"/>
      </w:pPr>
      <w:r>
        <w:t xml:space="preserve">Wave 4 — Medical Components</w:t>
      </w:r>
    </w:p>
    <w:p>
      <w:pPr>
        <w:spacing w:after="160"/>
      </w:pPr>
      <w:r>
        <w:t xml:space="preserve">Body Diagram, Burn Diagram, Dental Chart, SVG Annotation, Drawing Layer.</w:t>
      </w:r>
    </w:p>
    <w:p>
      <w:pPr>
        <w:spacing w:after="160"/>
      </w:pPr>
      <w:r>
        <w:t xml:space="preserve">Validates: the custom-control escape hatch (§2.3) for hotspot/region editors, vector annotation persistence (Phase 1 §4.2 FR-COMP-05 — structured, queryable hotspot data, not flattened images), and Asset Library integration (Phase 3 §7) for the underlying SVG diagrams.</w:t>
      </w:r>
    </w:p>
    <w:p>
      <w:pPr>
        <w:pStyle w:val="Heading2"/>
      </w:pPr>
      <w:r>
        <w:t xml:space="preserve">Wave 5 — Enterprise Components</w:t>
      </w:r>
    </w:p>
    <w:p>
      <w:pPr>
        <w:spacing w:after="160"/>
      </w:pPr>
      <w:r>
        <w:t xml:space="preserve">Signature, PDF Preview, Plugins, Theme, Assets.</w:t>
      </w:r>
    </w:p>
    <w:p>
      <w:pPr>
        <w:spacing w:after="160"/>
      </w:pPr>
      <w:r>
        <w:t xml:space="preserve">Validates: the full signature subsystem (Phase 2 §6) wired into a real component, PDF generation (Phase 4A §2.1/§2.3) from a live document, the Plugin SDK (Phase 3 §5, Phase 4B §5) exercised by installing/activating at least one non-trivial illustrative plugin end-to-end, and Theme/Design Token (Phase 3 §6) application across every prior wave's components simultaneously — this wave is where the whole platform is proven working together, not just each piece in isolation.</w:t>
      </w:r>
    </w:p>
    <w:p>
      <w:pPr>
        <w:pStyle w:val="Heading3"/>
      </w:pPr>
      <w:r>
        <w:t xml:space="preserve">4.1 Note on Repeat Sections</w:t>
      </w:r>
    </w:p>
    <w:p>
      <w:pPr>
        <w:spacing w:after="160"/>
      </w:pPr>
      <w:r>
        <w:t xml:space="preserve">A Repeat Section's scene graph representation stores one template subtree plus a repeat count/data-binding source — not N materialized copies — consistent with keeping the scene graph (Phase 5A §3) and FormSchema compact even for a Nursing Assessment with dozens of repeated vitals rows; the Renderer stage (Phase 3 §3) is responsible for materializing N instances at render/fill time from the one stored template.</w:t>
      </w:r>
    </w:p>
    <w:p>
      <w:pPr>
        <w:pStyle w:val="Heading1"/>
      </w:pPr>
      <w:r>
        <w:t xml:space="preserve">5. Phase 5B Risks and Definition of Done</w:t>
      </w:r>
    </w:p>
    <w:p>
      <w:pPr>
        <w:pStyle w:val="Heading2"/>
      </w:pPr>
      <w:r>
        <w:t xml:space="preserve">5.1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Pressure to hand-build a property panel "just this once" for a tricky component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contract in §3 is a hard gate — any component shipped without a propertySchema is treated as not done, not as an acceptable shortcut, per the explicit no-shortcuts instruction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Wave 4 (Medical) complexity tempting engine-level special-casing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medical-diagram complexity is contained inside that component's custom inspector renderer and its own serialize/validate logic — canvas-engine and the Inspector Generator remain unaware anything "medical" exists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Serializable Command Stream (§1.1) growing unbounded in a long editing session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Stream is capped/rotated (e.g., keep last N commands or last session) for replay/debugging purposes; it is not the persistence mechanism — FormSchema serialization (Phase 5A §2.3) remains the source of truth saved to the server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Scene Graph Validation (§1.3) being too strict and blocking legitimate edge cases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Validation errors are categorized (hard block vs. warning) explicitly, reviewed against real Wave 1–3 content before Wave 4/5 begin, so the threshold is calibrated on real usage, not guessed upfront</w:t>
            </w:r>
          </w:p>
        </w:tc>
      </w:tr>
    </w:tbl>
    <w:p>
      <w:pPr>
        <w:pStyle w:val="Heading2"/>
      </w:pPr>
      <w:r>
        <w:t xml:space="preserve">5.2 Definition of Done — Phase 5B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Serializable Command Stream, Transactions, Scene Graph Validation, Rendering Metrics, Extension Hooks, and Clipboard Service (§1) implemented and unit-tested in canvas-engine before component work depends on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Inspector Architecture (§2) implemented: propertySchema on ComponentDefinition, generic InspectorPanel/InspectorSection renderer, and the custom-control escape hatch, verified against at least one component from each wave.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component in Waves 1–5 satisfies all five rows of the component contract (§3) — verified via an automated check (e.g., a test that asserts every registered ComponentDefinition has a non-empty propertySchema and passes validate/serialize round-trip tests), not manual review alone.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wave's engine-validation goal (§4) is explicitly confirmed before the next wave begins — e.g., Wave 2 does not start until Wave 1 has proven the full contract works end-to-end.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 Section template-based storage (§4.1) confirmed to keep FormSchema size proportional to template complexity, not repeat count.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Upon approval, Phase 6 (Testing Strategy) begins — covering unit, integration, performance, accessibility, and end-to-end testing across the full platform built in Phases 4A through 5B.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HDSP — Healthcare Document Studio | Phase 5B Component &amp; Runtime Implementation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2026-07-05T10:50:50.928Z</dcterms:created>
  <dcterms:modified xsi:type="dcterms:W3CDTF">2026-07-05T10:50:50.929Z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