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D78"/>
          <w:sz w:val="48"/>
        </w:rPr>
        <w:t>Part 1A – Requirements Clarification</w:t>
      </w:r>
    </w:p>
    <w:p>
      <w:r>
        <w:rPr>
          <w:sz w:val="26"/>
        </w:rPr>
        <w:t>Decision register for unresolved product, platform, data, security, experience, and quality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680"/>
          </w:tcPr>
          <w:p>
            <w:r>
              <w:t>Anas Life OS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680"/>
          </w:tcPr>
          <w:p>
            <w:r>
              <w:t>Requirements Clarification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Draft for approval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4680"/>
          </w:tcPr>
          <w:p>
            <w:r>
              <w:t>Approved; unchanged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Database approach</w:t>
            </w:r>
          </w:p>
        </w:tc>
        <w:tc>
          <w:tcPr>
            <w:tcW w:type="dxa" w:w="4680"/>
          </w:tcPr>
          <w:p>
            <w:r>
              <w:t>Database-first; existing design reviewed, not replaced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Prepared</w:t>
            </w:r>
          </w:p>
        </w:tc>
        <w:tc>
          <w:tcPr>
            <w:tcW w:type="dxa" w:w="4680"/>
          </w:tcPr>
          <w:p>
            <w:r>
              <w:t>28 July 2026</w:t>
            </w:r>
          </w:p>
        </w:tc>
      </w:tr>
    </w:tbl>
    <w:p>
      <w:pPr>
        <w:pStyle w:val="Heading1"/>
      </w:pPr>
      <w:r>
        <w:t>Purpose and Approved Constraints</w:t>
      </w:r>
    </w:p>
    <w:p>
      <w:r>
        <w:t>This is a decision register, not an architecture redesign or implementation plan. The approved architecture remains unchanged. The database-first approach is intentional. The existing database design will be reviewed against finalized requirements and will not be replaced unless a serious architectural issue is evidenced and separately approved. No code is authorized in this phase.</w:t>
      </w:r>
    </w:p>
    <w:p>
      <w:pPr>
        <w:pStyle w:val="Heading1"/>
      </w:pPr>
      <w:r>
        <w:t>1. Product Scope and Release Boundaries</w:t>
      </w:r>
    </w:p>
    <w:p>
      <w:pPr>
        <w:keepLines/>
        <w:spacing w:before="120"/>
      </w:pPr>
      <w:r>
        <w:rPr>
          <w:b/>
          <w:color w:val="2E74B5"/>
        </w:rPr>
        <w:t xml:space="preserve">PRD-001  </w:t>
      </w:r>
      <w:r>
        <w:rPr>
          <w:b/>
          <w:color w:val="1F4D78"/>
        </w:rPr>
        <w:t>Which product domains belong to the complete vision, version 1, and the explicit exclusion list?</w:t>
      </w:r>
    </w:p>
    <w:p>
      <w:pPr>
        <w:keepLines/>
        <w:spacing w:before="120"/>
      </w:pPr>
      <w:r>
        <w:rPr>
          <w:b/>
          <w:color w:val="2E74B5"/>
        </w:rPr>
        <w:t xml:space="preserve">PRD-002  </w:t>
      </w:r>
      <w:r>
        <w:rPr>
          <w:b/>
          <w:color w:val="1F4D78"/>
        </w:rPr>
        <w:t>What is the first vertical milestone, its dependencies, acceptance criteria, and production definition of done?</w:t>
      </w:r>
    </w:p>
    <w:p>
      <w:pPr>
        <w:keepLines/>
        <w:spacing w:before="120"/>
      </w:pPr>
      <w:r>
        <w:rPr>
          <w:b/>
          <w:color w:val="2E74B5"/>
        </w:rPr>
        <w:t xml:space="preserve">PRD-003  </w:t>
      </w:r>
      <w:r>
        <w:rPr>
          <w:b/>
          <w:color w:val="1F4D78"/>
        </w:rPr>
        <w:t>Which deferred capabilities must influence the database review to avoid unsafe retrofit?</w:t>
      </w:r>
    </w:p>
    <w:p>
      <w:pPr>
        <w:pStyle w:val="Heading1"/>
      </w:pPr>
      <w:r>
        <w:t>2. Users, Profiles, and Core Workflows</w:t>
      </w:r>
    </w:p>
    <w:p>
      <w:pPr>
        <w:keepLines/>
        <w:spacing w:before="120"/>
      </w:pPr>
      <w:r>
        <w:rPr>
          <w:b/>
          <w:color w:val="2E74B5"/>
        </w:rPr>
        <w:t xml:space="preserve">UXF-001  </w:t>
      </w:r>
      <w:r>
        <w:rPr>
          <w:b/>
          <w:color w:val="1F4D78"/>
        </w:rPr>
        <w:t>Are there one or multiple profiles or vaults, guest or decoy modes, and what isolation applies?</w:t>
      </w:r>
    </w:p>
    <w:p>
      <w:pPr>
        <w:keepLines/>
        <w:spacing w:before="120"/>
      </w:pPr>
      <w:r>
        <w:rPr>
          <w:b/>
          <w:color w:val="2E74B5"/>
        </w:rPr>
        <w:t xml:space="preserve">UXF-002  </w:t>
      </w:r>
      <w:r>
        <w:rPr>
          <w:b/>
          <w:color w:val="1F4D78"/>
        </w:rPr>
        <w:t>What are the approved onboarding, daily planning, search, archive, trash, restore, import, export, and process-restoration workflows?</w:t>
      </w:r>
    </w:p>
    <w:p>
      <w:pPr>
        <w:pStyle w:val="Heading1"/>
      </w:pPr>
      <w:r>
        <w:t>3. Android Platform and Distribution</w:t>
      </w:r>
    </w:p>
    <w:p>
      <w:pPr>
        <w:keepLines/>
        <w:spacing w:before="120"/>
      </w:pPr>
      <w:r>
        <w:rPr>
          <w:b/>
          <w:color w:val="2E74B5"/>
        </w:rPr>
        <w:t xml:space="preserve">AND-001  </w:t>
      </w:r>
      <w:r>
        <w:rPr>
          <w:b/>
          <w:color w:val="1F4D78"/>
        </w:rPr>
        <w:t>What exact minSdk, targetSdk, and compileSdk policies resolve Android 11 and Android 14+?</w:t>
      </w:r>
    </w:p>
    <w:p>
      <w:pPr>
        <w:keepLines/>
        <w:spacing w:before="120"/>
      </w:pPr>
      <w:r>
        <w:rPr>
          <w:b/>
          <w:color w:val="2E74B5"/>
        </w:rPr>
        <w:t xml:space="preserve">AND-002  </w:t>
      </w:r>
      <w:r>
        <w:rPr>
          <w:b/>
          <w:color w:val="1F4D78"/>
        </w:rPr>
        <w:t>Which channels, device classes, Google Play Services assumptions, application identity, signing, attestation, and reproducible-build rules apply?</w:t>
      </w:r>
    </w:p>
    <w:p>
      <w:pPr>
        <w:pStyle w:val="Heading1"/>
      </w:pPr>
      <w:r>
        <w:t>4. Notifications, Scheduling, and Kotlin Boundary</w:t>
      </w:r>
    </w:p>
    <w:p>
      <w:pPr>
        <w:keepLines/>
        <w:spacing w:before="120"/>
      </w:pPr>
      <w:r>
        <w:rPr>
          <w:b/>
          <w:color w:val="2E74B5"/>
        </w:rPr>
        <w:t xml:space="preserve">NAT-001  </w:t>
      </w:r>
      <w:r>
        <w:rPr>
          <w:b/>
          <w:color w:val="1F4D78"/>
        </w:rPr>
        <w:t>Which reminders require exact timing, and how do permissions, reboot, time zones, daylight saving, missed windows, and duplicates behave?</w:t>
      </w:r>
    </w:p>
    <w:p>
      <w:pPr>
        <w:keepLines/>
        <w:spacing w:before="120"/>
      </w:pPr>
      <w:r>
        <w:rPr>
          <w:b/>
          <w:color w:val="2E74B5"/>
        </w:rPr>
        <w:t xml:space="preserve">NAT-002  </w:t>
      </w:r>
      <w:r>
        <w:rPr>
          <w:b/>
          <w:color w:val="1F4D78"/>
        </w:rPr>
        <w:t>Which biometrics, keys, app lock, alarms, background work, import/export, and security responsibilities belong to Kotlin?</w:t>
      </w:r>
    </w:p>
    <w:p>
      <w:pPr>
        <w:pStyle w:val="Heading1"/>
      </w:pPr>
      <w:r>
        <w:t>5. Plugin and AI Readiness</w:t>
      </w:r>
    </w:p>
    <w:p>
      <w:pPr>
        <w:keepLines/>
        <w:spacing w:before="120"/>
      </w:pPr>
      <w:r>
        <w:rPr>
          <w:b/>
          <w:color w:val="2E74B5"/>
        </w:rPr>
        <w:t xml:space="preserve">EXT-001  </w:t>
      </w:r>
      <w:r>
        <w:rPr>
          <w:b/>
          <w:color w:val="1F4D78"/>
        </w:rPr>
        <w:t>What plugin model, default-deny data permissions, network consent, isolation, revocation, and audit rules apply?</w:t>
      </w:r>
    </w:p>
    <w:p>
      <w:pPr>
        <w:keepLines/>
        <w:spacing w:before="120"/>
      </w:pPr>
      <w:r>
        <w:rPr>
          <w:b/>
          <w:color w:val="2E74B5"/>
        </w:rPr>
        <w:t xml:space="preserve">EXT-002  </w:t>
      </w:r>
      <w:r>
        <w:rPr>
          <w:b/>
          <w:color w:val="1F4D78"/>
        </w:rPr>
        <w:t>Does AI readiness mean interfaces, on-device, local-network, or external inference, and what model and data controls apply?</w:t>
      </w:r>
    </w:p>
    <w:p>
      <w:pPr>
        <w:pStyle w:val="Heading1"/>
      </w:pPr>
      <w:r>
        <w:t>6. Existing Database Design Review</w:t>
      </w:r>
    </w:p>
    <w:p>
      <w:pPr>
        <w:keepLines/>
        <w:spacing w:before="120"/>
      </w:pPr>
      <w:r>
        <w:rPr>
          <w:b/>
          <w:color w:val="2E74B5"/>
        </w:rPr>
        <w:t xml:space="preserve">DBR-001  </w:t>
      </w:r>
      <w:r>
        <w:rPr>
          <w:b/>
          <w:color w:val="1F4D78"/>
        </w:rPr>
        <w:t>Where is the authoritative existing schema, ER model, migrations, constraints, indexes, query assumptions, and rationale? None was available in the current project materials.</w:t>
      </w:r>
    </w:p>
    <w:p>
      <w:pPr>
        <w:keepLines/>
        <w:spacing w:before="120"/>
      </w:pPr>
      <w:r>
        <w:rPr>
          <w:b/>
          <w:color w:val="2E74B5"/>
        </w:rPr>
        <w:t xml:space="preserve">DBR-002  </w:t>
      </w:r>
      <w:r>
        <w:rPr>
          <w:b/>
          <w:color w:val="1F4D78"/>
        </w:rPr>
        <w:t>How do finalized workflows map to existing tables, relationships, invariants, and query paths?</w:t>
      </w:r>
    </w:p>
    <w:p>
      <w:pPr>
        <w:keepLines/>
        <w:spacing w:before="120"/>
      </w:pPr>
      <w:r>
        <w:rPr>
          <w:b/>
          <w:color w:val="2E74B5"/>
        </w:rPr>
        <w:t xml:space="preserve">DBR-003  </w:t>
      </w:r>
      <w:r>
        <w:rPr>
          <w:b/>
          <w:color w:val="1F4D78"/>
        </w:rPr>
        <w:t>What identifier, timestamp, syncStatus, version, universal-column exception, soft-delete, cascade, uniqueness, and restoration semantics apply?</w:t>
      </w:r>
    </w:p>
    <w:p>
      <w:pPr>
        <w:keepLines/>
        <w:spacing w:before="120"/>
      </w:pPr>
      <w:r>
        <w:rPr>
          <w:b/>
          <w:color w:val="2E74B5"/>
        </w:rPr>
        <w:t xml:space="preserve">DBR-004  </w:t>
      </w:r>
      <w:r>
        <w:rPr>
          <w:b/>
          <w:color w:val="1F4D78"/>
        </w:rPr>
        <w:t>What scale, search, filter, pagination, transaction, foreign-key, journal, corruption, integrity, and recovery requirements apply?</w:t>
      </w:r>
    </w:p>
    <w:p>
      <w:pPr>
        <w:keepLines/>
        <w:spacing w:before="120"/>
      </w:pPr>
      <w:r>
        <w:rPr>
          <w:b/>
          <w:color w:val="2E74B5"/>
        </w:rPr>
        <w:t xml:space="preserve">DBR-005  </w:t>
      </w:r>
      <w:r>
        <w:rPr>
          <w:b/>
          <w:color w:val="1F4D78"/>
        </w:rPr>
        <w:t>What migration, interruption, backup, rollback, upgrade, full-text, derived-data, and index-maintenance policies apply?</w:t>
      </w:r>
    </w:p>
    <w:p>
      <w:pPr>
        <w:keepLines/>
        <w:spacing w:before="120"/>
      </w:pPr>
      <w:r>
        <w:rPr>
          <w:b/>
          <w:color w:val="2E74B5"/>
        </w:rPr>
        <w:t xml:space="preserve">DBR-006  </w:t>
      </w:r>
      <w:r>
        <w:rPr>
          <w:b/>
          <w:color w:val="1F4D78"/>
        </w:rPr>
        <w:t>What evidenced severity threshold qualifies as a serious architectural issue, and what approval is required before redesign?</w:t>
      </w:r>
    </w:p>
    <w:p>
      <w:pPr>
        <w:pStyle w:val="Heading1"/>
      </w:pPr>
      <w:r>
        <w:t>7. Encryption and Security Threat Model</w:t>
      </w:r>
    </w:p>
    <w:p>
      <w:pPr>
        <w:keepLines/>
        <w:spacing w:before="120"/>
      </w:pPr>
      <w:r>
        <w:rPr>
          <w:b/>
          <w:color w:val="2E74B5"/>
        </w:rPr>
        <w:t xml:space="preserve">SEC-001  </w:t>
      </w:r>
      <w:r>
        <w:rPr>
          <w:b/>
          <w:color w:val="1F4D78"/>
        </w:rPr>
        <w:t>Which data and artifacts are sensitive, and is protection full-database, field-level, or both?</w:t>
      </w:r>
    </w:p>
    <w:p>
      <w:pPr>
        <w:keepLines/>
        <w:spacing w:before="120"/>
      </w:pPr>
      <w:r>
        <w:rPr>
          <w:b/>
          <w:color w:val="2E74B5"/>
        </w:rPr>
        <w:t xml:space="preserve">SEC-002  </w:t>
      </w:r>
      <w:r>
        <w:rPr>
          <w:b/>
          <w:color w:val="1F4D78"/>
        </w:rPr>
        <w:t>What Keystore, hardware-backed key, authentication-bound key, rotation, re-keying, and credential-change policies apply?</w:t>
      </w:r>
    </w:p>
    <w:p>
      <w:pPr>
        <w:keepLines/>
        <w:spacing w:before="120"/>
      </w:pPr>
      <w:r>
        <w:rPr>
          <w:b/>
          <w:color w:val="2E74B5"/>
        </w:rPr>
        <w:t xml:space="preserve">SEC-003  </w:t>
      </w:r>
      <w:r>
        <w:rPr>
          <w:b/>
          <w:color w:val="1F4D78"/>
        </w:rPr>
        <w:t>Which theft, extraction, debugging, memory, accessibility, root, tampering, screenshot, recent-app, clipboard, logging, and diagnostic threats and controls apply?</w:t>
      </w:r>
    </w:p>
    <w:p>
      <w:pPr>
        <w:pStyle w:val="Heading1"/>
      </w:pPr>
      <w:r>
        <w:t>8. PIN, Biometrics, and App Lock</w:t>
      </w:r>
    </w:p>
    <w:p>
      <w:pPr>
        <w:keepLines/>
        <w:spacing w:before="120"/>
      </w:pPr>
      <w:r>
        <w:rPr>
          <w:b/>
          <w:color w:val="2E74B5"/>
        </w:rPr>
        <w:t xml:space="preserve">LCK-001  </w:t>
      </w:r>
      <w:r>
        <w:rPr>
          <w:b/>
          <w:color w:val="1F4D78"/>
        </w:rPr>
        <w:t>What PIN strength, derivation, retry, delay, lockout, persistence, forgotten-credential, and recovery policies apply?</w:t>
      </w:r>
    </w:p>
    <w:p>
      <w:pPr>
        <w:keepLines/>
        <w:spacing w:before="120"/>
      </w:pPr>
      <w:r>
        <w:rPr>
          <w:b/>
          <w:color w:val="2E74B5"/>
        </w:rPr>
        <w:t xml:space="preserve">LCK-002  </w:t>
      </w:r>
      <w:r>
        <w:rPr>
          <w:b/>
          <w:color w:val="1F4D78"/>
        </w:rPr>
        <w:t>When does app lock activate, how do biometrics fall back, and what may remain visible while locked?</w:t>
      </w:r>
    </w:p>
    <w:p>
      <w:pPr>
        <w:pStyle w:val="Heading1"/>
      </w:pPr>
      <w:r>
        <w:t>9. Data Lifecycle, Backup, Import, and Recovery</w:t>
      </w:r>
    </w:p>
    <w:p>
      <w:pPr>
        <w:keepLines/>
        <w:spacing w:before="120"/>
      </w:pPr>
      <w:r>
        <w:rPr>
          <w:b/>
          <w:color w:val="2E74B5"/>
        </w:rPr>
        <w:t xml:space="preserve">DAT-001  </w:t>
      </w:r>
      <w:r>
        <w:rPr>
          <w:b/>
          <w:color w:val="1F4D78"/>
        </w:rPr>
        <w:t>What encrypted backup, restore, system-backup exclusion, device migration, key transfer, integrity, and compatibility rules apply?</w:t>
      </w:r>
    </w:p>
    <w:p>
      <w:pPr>
        <w:keepLines/>
        <w:spacing w:before="120"/>
      </w:pPr>
      <w:r>
        <w:rPr>
          <w:b/>
          <w:color w:val="2E74B5"/>
        </w:rPr>
        <w:t xml:space="preserve">DAT-002  </w:t>
      </w:r>
      <w:r>
        <w:rPr>
          <w:b/>
          <w:color w:val="1F4D78"/>
        </w:rPr>
        <w:t>What secure-erasure exceptions reconcile soft deletion with explicit erasure, vault reset, key destruction, corruption, and temporary data?</w:t>
      </w:r>
    </w:p>
    <w:p>
      <w:pPr>
        <w:keepLines/>
        <w:spacing w:before="120"/>
      </w:pPr>
      <w:r>
        <w:rPr>
          <w:b/>
          <w:color w:val="2E74B5"/>
        </w:rPr>
        <w:t xml:space="preserve">DAT-003  </w:t>
      </w:r>
      <w:r>
        <w:rPr>
          <w:b/>
          <w:color w:val="1F4D78"/>
        </w:rPr>
        <w:t>What trash, attachments, import validation, duplicate, malicious-file, partial-failure, corruption, safe-mode, and recovery rules apply?</w:t>
      </w:r>
    </w:p>
    <w:p>
      <w:pPr>
        <w:pStyle w:val="Heading1"/>
      </w:pPr>
      <w:r>
        <w:t>10. UI, Accessibility, Localization, and Adaptation</w:t>
      </w:r>
    </w:p>
    <w:p>
      <w:pPr>
        <w:keepLines/>
        <w:spacing w:before="120"/>
      </w:pPr>
      <w:r>
        <w:rPr>
          <w:b/>
          <w:color w:val="2E74B5"/>
        </w:rPr>
        <w:t xml:space="preserve">UIA-001  </w:t>
      </w:r>
      <w:r>
        <w:rPr>
          <w:b/>
          <w:color w:val="1F4D78"/>
        </w:rPr>
        <w:t>What information architecture and Material 3 visual system are approved?</w:t>
      </w:r>
    </w:p>
    <w:p>
      <w:pPr>
        <w:keepLines/>
        <w:spacing w:before="120"/>
      </w:pPr>
      <w:r>
        <w:rPr>
          <w:b/>
          <w:color w:val="2E74B5"/>
        </w:rPr>
        <w:t xml:space="preserve">UIA-002  </w:t>
      </w:r>
      <w:r>
        <w:rPr>
          <w:b/>
          <w:color w:val="1F4D78"/>
        </w:rPr>
        <w:t>Which WCAG, touch, contrast, semantics, focus, switch, keyboard, reduced-motion, and dynamic-text criteria apply?</w:t>
      </w:r>
    </w:p>
    <w:p>
      <w:pPr>
        <w:keepLines/>
        <w:spacing w:before="120"/>
      </w:pPr>
      <w:r>
        <w:rPr>
          <w:b/>
          <w:color w:val="2E74B5"/>
        </w:rPr>
        <w:t xml:space="preserve">UIA-003  </w:t>
      </w:r>
      <w:r>
        <w:rPr>
          <w:b/>
          <w:color w:val="1F4D78"/>
        </w:rPr>
        <w:t>Which languages, RTL cases, formats, calendars, time conventions, devices, breakpoints, foldable, and orientation behaviors apply?</w:t>
      </w:r>
    </w:p>
    <w:p>
      <w:pPr>
        <w:pStyle w:val="Heading1"/>
      </w:pPr>
      <w:r>
        <w:t>11. Performance, Reliability, and Resource Budgets</w:t>
      </w:r>
    </w:p>
    <w:p>
      <w:pPr>
        <w:keepLines/>
        <w:spacing w:before="120"/>
      </w:pPr>
      <w:r>
        <w:rPr>
          <w:b/>
          <w:color w:val="2E74B5"/>
        </w:rPr>
        <w:t xml:space="preserve">PER-001  </w:t>
      </w:r>
      <w:r>
        <w:rPr>
          <w:b/>
          <w:color w:val="1F4D78"/>
        </w:rPr>
        <w:t>On which devices, builds, workloads, database sizes, and percentiles are cold start, memory, database latency, 60 FPS, and battery measured?</w:t>
      </w:r>
    </w:p>
    <w:p>
      <w:pPr>
        <w:keepLines/>
        <w:spacing w:before="120"/>
      </w:pPr>
      <w:r>
        <w:rPr>
          <w:b/>
          <w:color w:val="2E74B5"/>
        </w:rPr>
        <w:t xml:space="preserve">PER-002  </w:t>
      </w:r>
      <w:r>
        <w:rPr>
          <w:b/>
          <w:color w:val="1F4D78"/>
        </w:rPr>
        <w:t>What recovery behavior applies to storage exhaustion, permission denial, process death, and interrupted operations?</w:t>
      </w:r>
    </w:p>
    <w:p>
      <w:pPr>
        <w:pStyle w:val="Heading1"/>
      </w:pPr>
      <w:r>
        <w:t>12. Testing, Quality Gates, and Evidence</w:t>
      </w:r>
    </w:p>
    <w:p>
      <w:pPr>
        <w:keepLines/>
        <w:spacing w:before="120"/>
      </w:pPr>
      <w:r>
        <w:rPr>
          <w:b/>
          <w:color w:val="2E74B5"/>
        </w:rPr>
        <w:t xml:space="preserve">QAT-001  </w:t>
      </w:r>
      <w:r>
        <w:rPr>
          <w:b/>
          <w:color w:val="1F4D78"/>
        </w:rPr>
        <w:t>What device, Android, screen, memory, storage, locale, RTL, font-scale, and accessibility matrix applies?</w:t>
      </w:r>
    </w:p>
    <w:p>
      <w:pPr>
        <w:keepLines/>
        <w:spacing w:before="120"/>
      </w:pPr>
      <w:r>
        <w:rPr>
          <w:b/>
          <w:color w:val="2E74B5"/>
        </w:rPr>
        <w:t xml:space="preserve">QAT-002  </w:t>
      </w:r>
      <w:r>
        <w:rPr>
          <w:b/>
          <w:color w:val="1F4D78"/>
        </w:rPr>
        <w:t>Which unit, widget, integration, migration, security, manual, regression, performance, battery, accessibility, and upgrade tests run at each gate?</w:t>
      </w:r>
    </w:p>
    <w:p>
      <w:pPr>
        <w:keepLines/>
        <w:spacing w:before="120"/>
      </w:pPr>
      <w:r>
        <w:rPr>
          <w:b/>
          <w:color w:val="2E74B5"/>
        </w:rPr>
        <w:t xml:space="preserve">QAT-003  </w:t>
      </w:r>
      <w:r>
        <w:rPr>
          <w:b/>
          <w:color w:val="1F4D78"/>
        </w:rPr>
        <w:t>What analyzer, build, report, UI, profile, security, documentation, defect, waiver, and traceability evidence is required?</w:t>
      </w:r>
    </w:p>
    <w:p>
      <w:pPr>
        <w:pStyle w:val="Heading1"/>
      </w:pPr>
      <w:r>
        <w:t>13. Maintainability, Documentation, and Release Governance</w:t>
      </w:r>
    </w:p>
    <w:p>
      <w:pPr>
        <w:keepLines/>
        <w:spacing w:before="120"/>
      </w:pPr>
      <w:r>
        <w:rPr>
          <w:b/>
          <w:color w:val="2E74B5"/>
        </w:rPr>
        <w:t xml:space="preserve">MNT-001  </w:t>
      </w:r>
      <w:r>
        <w:rPr>
          <w:b/>
          <w:color w:val="1F4D78"/>
        </w:rPr>
        <w:t>Which state, DI, navigation, SQLite, model, logging, localization, and test technologies are approved within the unchanged architecture?</w:t>
      </w:r>
    </w:p>
    <w:p>
      <w:pPr>
        <w:keepLines/>
        <w:spacing w:before="120"/>
      </w:pPr>
      <w:r>
        <w:rPr>
          <w:b/>
          <w:color w:val="2E74B5"/>
        </w:rPr>
        <w:t xml:space="preserve">MNT-002  </w:t>
      </w:r>
      <w:r>
        <w:rPr>
          <w:b/>
          <w:color w:val="1F4D78"/>
        </w:rPr>
        <w:t>What dependency, security response, licensing, versioning, release, downgrade, rollback, and documentation policies apply?</w:t>
      </w:r>
    </w:p>
    <w:p>
      <w:pPr>
        <w:keepLines/>
        <w:spacing w:before="120"/>
      </w:pPr>
      <w:r>
        <w:rPr>
          <w:b/>
          <w:color w:val="2E74B5"/>
        </w:rPr>
        <w:t xml:space="preserve">MNT-003  </w:t>
      </w:r>
      <w:r>
        <w:rPr>
          <w:b/>
          <w:color w:val="1F4D78"/>
        </w:rPr>
        <w:t>Who approves exceptions, and what measurable definitions replace absolute quality claims?</w:t>
      </w:r>
    </w:p>
    <w:p>
      <w:pPr>
        <w:pStyle w:val="Heading1"/>
      </w:pPr>
      <w:r>
        <w:t>14. Approval and Next-Step Gate</w:t>
      </w:r>
    </w:p>
    <w:p>
      <w:pPr>
        <w:keepLines/>
        <w:spacing w:before="120"/>
      </w:pPr>
      <w:r>
        <w:rPr>
          <w:b/>
          <w:color w:val="2E74B5"/>
        </w:rPr>
        <w:t xml:space="preserve">GAT-001  </w:t>
      </w:r>
      <w:r>
        <w:rPr>
          <w:b/>
          <w:color w:val="1F4D78"/>
        </w:rPr>
        <w:t>Is Part 1A approved for controlled answers while implementation remains paused?</w:t>
      </w:r>
    </w:p>
    <w:p>
      <w:pPr>
        <w:keepLines/>
        <w:spacing w:before="120"/>
      </w:pPr>
      <w:r>
        <w:rPr>
          <w:b/>
          <w:color w:val="2E74B5"/>
        </w:rPr>
        <w:t xml:space="preserve">GAT-002  </w:t>
      </w:r>
      <w:r>
        <w:rPr>
          <w:b/>
          <w:color w:val="1F4D78"/>
        </w:rPr>
        <w:t>Who will provide the authoritative existing database design for conformance review?</w:t>
      </w:r>
    </w:p>
    <w:p>
      <w:pPr>
        <w:pStyle w:val="Heading1"/>
      </w:pPr>
      <w:r>
        <w:t>Approval Status</w:t>
      </w:r>
    </w:p>
    <w:p>
      <w:r>
        <w:t>Part 1A is complete when its question set is approved. Implementation remains paused. Answers should then be recorded in a controlled revision, followed by a conformance review of the authoritative existing database design.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ANAS LIFE OS  |  REQUIREMENTS CLARIFICATION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1A – Requirements Clarification</dc:title>
  <dc:subject/>
  <dc:creator>Anas Life OS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