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48"/>
        </w:rPr>
        <w:t>Part 1B – Requirements Answers Template</w:t>
      </w:r>
    </w:p>
    <w:p>
      <w:pPr>
        <w:spacing w:after="280"/>
      </w:pPr>
      <w:r>
        <w:rPr>
          <w:rFonts w:ascii="Calibri" w:hAnsi="Calibri"/>
          <w:b w:val="0"/>
          <w:i w:val="0"/>
          <w:color w:val="5F6B7A"/>
          <w:sz w:val="26"/>
        </w:rPr>
        <w:t>Controlled answer and approval sheet for the 38 Part 1A clarification questions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Project</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Anas Life OS</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Phase</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Requirements Answers</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Source</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Approved Part 1A</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Awaiting completed answers</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Architecture</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Approved; unchanged</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Database direction</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Review existing design; no automatic redesign</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Template version</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1.0</w:t>
            </w:r>
          </w:p>
        </w:tc>
      </w:tr>
    </w:tbl>
    <w:p>
      <w:pPr>
        <w:pStyle w:val="Heading1"/>
      </w:pPr>
      <w:r>
        <w:t>Instructions</w:t>
      </w:r>
    </w:p>
    <w:p>
      <w:r>
        <w:t>Complete every decision block. Use one unambiguous approved answer; document rationale, constraints, evidence, and follow-up actions. Mark a decision Approved only after the named approver accepts it. Deferred answers must identify the blocking dependency and may not silently authorize implementation. Architecture remains unchanged, and database answers guide conformance review of the existing design.</w:t>
      </w:r>
    </w:p>
    <w:p>
      <w:pPr>
        <w:pStyle w:val="Heading2"/>
      </w:pPr>
      <w:r>
        <w:t>Approval Status Definitions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Pending</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No final answer approved.</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Approved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Answer is final and may govern implementation.</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Approved with conditions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Final subject to explicitly recorded conditions.</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Needs revision</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Answer is incomplete, ambiguous, or rejected.</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Deferred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Decision intentionally postponed with an owner and due date.</w:t>
            </w:r>
          </w:p>
        </w:tc>
      </w:tr>
    </w:tbl>
    <w:p>
      <w:pPr>
        <w:pStyle w:val="Heading1"/>
      </w:pPr>
      <w:r>
        <w:t>1. Product Scope and Release Boundaries</w:t>
      </w:r>
    </w:p>
    <w:p>
      <w:pPr>
        <w:keepNext/>
        <w:spacing w:before="120" w:after="100"/>
      </w:pPr>
      <w:r>
        <w:rPr>
          <w:rFonts w:ascii="Calibri" w:hAnsi="Calibri"/>
          <w:b/>
          <w:i w:val="0"/>
          <w:color w:val="2E74B5"/>
          <w:sz w:val="22"/>
        </w:rPr>
        <w:t xml:space="preserve">PRD-001  </w:t>
      </w:r>
      <w:r>
        <w:rPr>
          <w:rFonts w:ascii="Calibri" w:hAnsi="Calibri"/>
          <w:b/>
          <w:i w:val="0"/>
          <w:color w:val="1F4D78"/>
          <w:sz w:val="22"/>
        </w:rPr>
        <w:t>Which product domains belong to the complete vision, version 1, and the explicit exclusion list?</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PRD-002  </w:t>
      </w:r>
      <w:r>
        <w:rPr>
          <w:rFonts w:ascii="Calibri" w:hAnsi="Calibri"/>
          <w:b/>
          <w:i w:val="0"/>
          <w:color w:val="1F4D78"/>
          <w:sz w:val="22"/>
        </w:rPr>
        <w:t>What is the first vertical milestone, its dependencies, acceptance criteria, and production definition of done?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PRD-003  </w:t>
      </w:r>
      <w:r>
        <w:rPr>
          <w:rFonts w:ascii="Calibri" w:hAnsi="Calibri"/>
          <w:b/>
          <w:i w:val="0"/>
          <w:color w:val="1F4D78"/>
          <w:sz w:val="22"/>
        </w:rPr>
        <w:t>Which deferred capabilities must influence the database review to avoid unsafe retrofit?</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2. Users, Profiles, and Core Workflows</w:t>
      </w:r>
    </w:p>
    <w:p>
      <w:pPr>
        <w:keepNext/>
        <w:spacing w:before="120" w:after="100"/>
      </w:pPr>
      <w:r>
        <w:rPr>
          <w:rFonts w:ascii="Calibri" w:hAnsi="Calibri"/>
          <w:b/>
          <w:i w:val="0"/>
          <w:color w:val="2E74B5"/>
          <w:sz w:val="22"/>
        </w:rPr>
        <w:t xml:space="preserve">UXF-001  </w:t>
      </w:r>
      <w:r>
        <w:rPr>
          <w:rFonts w:ascii="Calibri" w:hAnsi="Calibri"/>
          <w:b/>
          <w:i w:val="0"/>
          <w:color w:val="1F4D78"/>
          <w:sz w:val="22"/>
        </w:rPr>
        <w:t>Are there one or multiple profiles or vaults, guest or decoy modes, and what isolation applies?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UXF-002  </w:t>
      </w:r>
      <w:r>
        <w:rPr>
          <w:rFonts w:ascii="Calibri" w:hAnsi="Calibri"/>
          <w:b/>
          <w:i w:val="0"/>
          <w:color w:val="1F4D78"/>
          <w:sz w:val="22"/>
        </w:rPr>
        <w:t>What are the approved onboarding, daily planning, search, archive, trash, restore, import, export, and process-restoration workflows?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3. Android Platform and Distribution</w:t>
      </w:r>
    </w:p>
    <w:p>
      <w:pPr>
        <w:keepNext/>
        <w:spacing w:before="120" w:after="100"/>
      </w:pPr>
      <w:r>
        <w:rPr>
          <w:rFonts w:ascii="Calibri" w:hAnsi="Calibri"/>
          <w:b/>
          <w:i w:val="0"/>
          <w:color w:val="2E74B5"/>
          <w:sz w:val="22"/>
        </w:rPr>
        <w:t xml:space="preserve">AND-001  </w:t>
      </w:r>
      <w:r>
        <w:rPr>
          <w:rFonts w:ascii="Calibri" w:hAnsi="Calibri"/>
          <w:b/>
          <w:i w:val="0"/>
          <w:color w:val="1F4D78"/>
          <w:sz w:val="22"/>
        </w:rPr>
        <w:t>What exact minSdk, targetSdk, and compileSdk policies resolve Android 11 and Android 14+?</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AND-002  </w:t>
      </w:r>
      <w:r>
        <w:rPr>
          <w:rFonts w:ascii="Calibri" w:hAnsi="Calibri"/>
          <w:b/>
          <w:i w:val="0"/>
          <w:color w:val="1F4D78"/>
          <w:sz w:val="22"/>
        </w:rPr>
        <w:t>Which channels, device classes, Google Play Services assumptions, application identity, signing, attestation, and reproducible-build rules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4. Notifications, Scheduling, and Kotlin Boundary</w:t>
      </w:r>
    </w:p>
    <w:p>
      <w:pPr>
        <w:keepNext/>
        <w:spacing w:before="120" w:after="100"/>
      </w:pPr>
      <w:r>
        <w:rPr>
          <w:rFonts w:ascii="Calibri" w:hAnsi="Calibri"/>
          <w:b/>
          <w:i w:val="0"/>
          <w:color w:val="2E74B5"/>
          <w:sz w:val="22"/>
        </w:rPr>
        <w:t xml:space="preserve">NAT-001  </w:t>
      </w:r>
      <w:r>
        <w:rPr>
          <w:rFonts w:ascii="Calibri" w:hAnsi="Calibri"/>
          <w:b/>
          <w:i w:val="0"/>
          <w:color w:val="1F4D78"/>
          <w:sz w:val="22"/>
        </w:rPr>
        <w:t>Which reminders require exact timing, and how do permissions, reboot, time zones, daylight saving, missed windows, and duplicates behave?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NAT-002  </w:t>
      </w:r>
      <w:r>
        <w:rPr>
          <w:rFonts w:ascii="Calibri" w:hAnsi="Calibri"/>
          <w:b/>
          <w:i w:val="0"/>
          <w:color w:val="1F4D78"/>
          <w:sz w:val="22"/>
        </w:rPr>
        <w:t>Which biometrics, keys, app lock, alarms, background work, import/export, and security responsibilities belong to Kotlin?</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5. Plugin and AI Readiness</w:t>
      </w:r>
    </w:p>
    <w:p>
      <w:pPr>
        <w:keepNext/>
        <w:spacing w:before="120" w:after="100"/>
      </w:pPr>
      <w:r>
        <w:rPr>
          <w:rFonts w:ascii="Calibri" w:hAnsi="Calibri"/>
          <w:b/>
          <w:i w:val="0"/>
          <w:color w:val="2E74B5"/>
          <w:sz w:val="22"/>
        </w:rPr>
        <w:t xml:space="preserve">EXT-001  </w:t>
      </w:r>
      <w:r>
        <w:rPr>
          <w:rFonts w:ascii="Calibri" w:hAnsi="Calibri"/>
          <w:b/>
          <w:i w:val="0"/>
          <w:color w:val="1F4D78"/>
          <w:sz w:val="22"/>
        </w:rPr>
        <w:t>What plugin model, default-deny data permissions, network consent, isolation, revocation, and audit rules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EXT-002  </w:t>
      </w:r>
      <w:r>
        <w:rPr>
          <w:rFonts w:ascii="Calibri" w:hAnsi="Calibri"/>
          <w:b/>
          <w:i w:val="0"/>
          <w:color w:val="1F4D78"/>
          <w:sz w:val="22"/>
        </w:rPr>
        <w:t>Does AI readiness mean interfaces, on-device, local-network, or external inference, and what model and data controls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6. Existing Database Design Review</w:t>
      </w:r>
    </w:p>
    <w:p>
      <w:pPr>
        <w:keepNext/>
        <w:spacing w:before="120" w:after="100"/>
      </w:pPr>
      <w:r>
        <w:rPr>
          <w:rFonts w:ascii="Calibri" w:hAnsi="Calibri"/>
          <w:b/>
          <w:i w:val="0"/>
          <w:color w:val="2E74B5"/>
          <w:sz w:val="22"/>
        </w:rPr>
        <w:t xml:space="preserve">DBR-001  </w:t>
      </w:r>
      <w:r>
        <w:rPr>
          <w:rFonts w:ascii="Calibri" w:hAnsi="Calibri"/>
          <w:b/>
          <w:i w:val="0"/>
          <w:color w:val="1F4D78"/>
          <w:sz w:val="22"/>
        </w:rPr>
        <w:t>Where is the authoritative existing schema, ER model, migrations, constraints, indexes, query assumptions, and rationale? None was available in the current project materials.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DBR-002  </w:t>
      </w:r>
      <w:r>
        <w:rPr>
          <w:rFonts w:ascii="Calibri" w:hAnsi="Calibri"/>
          <w:b/>
          <w:i w:val="0"/>
          <w:color w:val="1F4D78"/>
          <w:sz w:val="22"/>
        </w:rPr>
        <w:t>How do finalized workflows map to existing tables, relationships, invariants, and query paths?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DBR-003  </w:t>
      </w:r>
      <w:r>
        <w:rPr>
          <w:rFonts w:ascii="Calibri" w:hAnsi="Calibri"/>
          <w:b/>
          <w:i w:val="0"/>
          <w:color w:val="1F4D78"/>
          <w:sz w:val="22"/>
        </w:rPr>
        <w:t>What identifier, timestamp, syncStatus, version, universal-column exception, soft-delete, cascade, uniqueness, and restoration semantics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DBR-004  </w:t>
      </w:r>
      <w:r>
        <w:rPr>
          <w:rFonts w:ascii="Calibri" w:hAnsi="Calibri"/>
          <w:b/>
          <w:i w:val="0"/>
          <w:color w:val="1F4D78"/>
          <w:sz w:val="22"/>
        </w:rPr>
        <w:t>What scale, search, filter, pagination, transaction, foreign-key, journal, corruption, integrity, and recovery requirements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DBR-005  </w:t>
      </w:r>
      <w:r>
        <w:rPr>
          <w:rFonts w:ascii="Calibri" w:hAnsi="Calibri"/>
          <w:b/>
          <w:i w:val="0"/>
          <w:color w:val="1F4D78"/>
          <w:sz w:val="22"/>
        </w:rPr>
        <w:t>What migration, interruption, backup, rollback, upgrade, full-text, derived-data, and index-maintenance policies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DBR-006  </w:t>
      </w:r>
      <w:r>
        <w:rPr>
          <w:rFonts w:ascii="Calibri" w:hAnsi="Calibri"/>
          <w:b/>
          <w:i w:val="0"/>
          <w:color w:val="1F4D78"/>
          <w:sz w:val="22"/>
        </w:rPr>
        <w:t>What evidenced severity threshold qualifies as a serious architectural issue, and what approval is required before redesign?</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7. Encryption and Security Threat Model</w:t>
      </w:r>
    </w:p>
    <w:p>
      <w:pPr>
        <w:keepNext/>
        <w:spacing w:before="120" w:after="100"/>
      </w:pPr>
      <w:r>
        <w:rPr>
          <w:rFonts w:ascii="Calibri" w:hAnsi="Calibri"/>
          <w:b/>
          <w:i w:val="0"/>
          <w:color w:val="2E74B5"/>
          <w:sz w:val="22"/>
        </w:rPr>
        <w:t xml:space="preserve">SEC-001  </w:t>
      </w:r>
      <w:r>
        <w:rPr>
          <w:rFonts w:ascii="Calibri" w:hAnsi="Calibri"/>
          <w:b/>
          <w:i w:val="0"/>
          <w:color w:val="1F4D78"/>
          <w:sz w:val="22"/>
        </w:rPr>
        <w:t>Which data and artifacts are sensitive, and is protection full-database, field-level, or both?</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SEC-002  </w:t>
      </w:r>
      <w:r>
        <w:rPr>
          <w:rFonts w:ascii="Calibri" w:hAnsi="Calibri"/>
          <w:b/>
          <w:i w:val="0"/>
          <w:color w:val="1F4D78"/>
          <w:sz w:val="22"/>
        </w:rPr>
        <w:t>What Keystore, hardware-backed key, authentication-bound key, rotation, re-keying, and credential-change policies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SEC-003  </w:t>
      </w:r>
      <w:r>
        <w:rPr>
          <w:rFonts w:ascii="Calibri" w:hAnsi="Calibri"/>
          <w:b/>
          <w:i w:val="0"/>
          <w:color w:val="1F4D78"/>
          <w:sz w:val="22"/>
        </w:rPr>
        <w:t>Which theft, extraction, debugging, memory, accessibility, root, tampering, screenshot, recent-app, clipboard, logging, and diagnostic threats and controls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8. PIN, Biometrics, and App Lock</w:t>
      </w:r>
    </w:p>
    <w:p>
      <w:pPr>
        <w:keepNext/>
        <w:spacing w:before="120" w:after="100"/>
      </w:pPr>
      <w:r>
        <w:rPr>
          <w:rFonts w:ascii="Calibri" w:hAnsi="Calibri"/>
          <w:b/>
          <w:i w:val="0"/>
          <w:color w:val="2E74B5"/>
          <w:sz w:val="22"/>
        </w:rPr>
        <w:t xml:space="preserve">LCK-001  </w:t>
      </w:r>
      <w:r>
        <w:rPr>
          <w:rFonts w:ascii="Calibri" w:hAnsi="Calibri"/>
          <w:b/>
          <w:i w:val="0"/>
          <w:color w:val="1F4D78"/>
          <w:sz w:val="22"/>
        </w:rPr>
        <w:t>What PIN strength, derivation, retry, delay, lockout, persistence, forgotten-credential, and recovery policies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LCK-002  </w:t>
      </w:r>
      <w:r>
        <w:rPr>
          <w:rFonts w:ascii="Calibri" w:hAnsi="Calibri"/>
          <w:b/>
          <w:i w:val="0"/>
          <w:color w:val="1F4D78"/>
          <w:sz w:val="22"/>
        </w:rPr>
        <w:t>When does app lock activate, how do biometrics fall back, and what may remain visible while locked?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9. Data Lifecycle, Backup, Import, and Recovery</w:t>
      </w:r>
    </w:p>
    <w:p>
      <w:pPr>
        <w:keepNext/>
        <w:spacing w:before="120" w:after="100"/>
      </w:pPr>
      <w:r>
        <w:rPr>
          <w:rFonts w:ascii="Calibri" w:hAnsi="Calibri"/>
          <w:b/>
          <w:i w:val="0"/>
          <w:color w:val="2E74B5"/>
          <w:sz w:val="22"/>
        </w:rPr>
        <w:t xml:space="preserve">DAT-001  </w:t>
      </w:r>
      <w:r>
        <w:rPr>
          <w:rFonts w:ascii="Calibri" w:hAnsi="Calibri"/>
          <w:b/>
          <w:i w:val="0"/>
          <w:color w:val="1F4D78"/>
          <w:sz w:val="22"/>
        </w:rPr>
        <w:t>What encrypted backup, restore, system-backup exclusion, device migration, key transfer, integrity, and compatibility rules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DAT-002  </w:t>
      </w:r>
      <w:r>
        <w:rPr>
          <w:rFonts w:ascii="Calibri" w:hAnsi="Calibri"/>
          <w:b/>
          <w:i w:val="0"/>
          <w:color w:val="1F4D78"/>
          <w:sz w:val="22"/>
        </w:rPr>
        <w:t>What secure-erasure exceptions reconcile soft deletion with explicit erasure, vault reset, key destruction, corruption, and temporary data?</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DAT-003  </w:t>
      </w:r>
      <w:r>
        <w:rPr>
          <w:rFonts w:ascii="Calibri" w:hAnsi="Calibri"/>
          <w:b/>
          <w:i w:val="0"/>
          <w:color w:val="1F4D78"/>
          <w:sz w:val="22"/>
        </w:rPr>
        <w:t>What trash, attachments, import validation, duplicate, malicious-file, partial-failure, corruption, safe-mode, and recovery rules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10. UI, Accessibility, Localization, and Adaptation</w:t>
      </w:r>
    </w:p>
    <w:p>
      <w:pPr>
        <w:keepNext/>
        <w:spacing w:before="120" w:after="100"/>
      </w:pPr>
      <w:r>
        <w:rPr>
          <w:rFonts w:ascii="Calibri" w:hAnsi="Calibri"/>
          <w:b/>
          <w:i w:val="0"/>
          <w:color w:val="2E74B5"/>
          <w:sz w:val="22"/>
        </w:rPr>
        <w:t xml:space="preserve">UIA-001  </w:t>
      </w:r>
      <w:r>
        <w:rPr>
          <w:rFonts w:ascii="Calibri" w:hAnsi="Calibri"/>
          <w:b/>
          <w:i w:val="0"/>
          <w:color w:val="1F4D78"/>
          <w:sz w:val="22"/>
        </w:rPr>
        <w:t>What information architecture and Material 3 visual system are approved?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UIA-002  </w:t>
      </w:r>
      <w:r>
        <w:rPr>
          <w:rFonts w:ascii="Calibri" w:hAnsi="Calibri"/>
          <w:b/>
          <w:i w:val="0"/>
          <w:color w:val="1F4D78"/>
          <w:sz w:val="22"/>
        </w:rPr>
        <w:t>Which WCAG, touch, contrast, semantics, focus, switch, keyboard, reduced-motion, and dynamic-text criteria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UIA-003  </w:t>
      </w:r>
      <w:r>
        <w:rPr>
          <w:rFonts w:ascii="Calibri" w:hAnsi="Calibri"/>
          <w:b/>
          <w:i w:val="0"/>
          <w:color w:val="1F4D78"/>
          <w:sz w:val="22"/>
        </w:rPr>
        <w:t>Which languages, RTL cases, formats, calendars, time conventions, devices, breakpoints, foldable, and orientation behaviors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11. Performance, Reliability, and Resource Budgets</w:t>
      </w:r>
    </w:p>
    <w:p>
      <w:pPr>
        <w:keepNext/>
        <w:spacing w:before="120" w:after="100"/>
      </w:pPr>
      <w:r>
        <w:rPr>
          <w:rFonts w:ascii="Calibri" w:hAnsi="Calibri"/>
          <w:b/>
          <w:i w:val="0"/>
          <w:color w:val="2E74B5"/>
          <w:sz w:val="22"/>
        </w:rPr>
        <w:t xml:space="preserve">PER-001  </w:t>
      </w:r>
      <w:r>
        <w:rPr>
          <w:rFonts w:ascii="Calibri" w:hAnsi="Calibri"/>
          <w:b/>
          <w:i w:val="0"/>
          <w:color w:val="1F4D78"/>
          <w:sz w:val="22"/>
        </w:rPr>
        <w:t>On which devices, builds, workloads, database sizes, and percentiles are cold start, memory, database latency, 60 FPS, and battery measured?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PER-002  </w:t>
      </w:r>
      <w:r>
        <w:rPr>
          <w:rFonts w:ascii="Calibri" w:hAnsi="Calibri"/>
          <w:b/>
          <w:i w:val="0"/>
          <w:color w:val="1F4D78"/>
          <w:sz w:val="22"/>
        </w:rPr>
        <w:t>What recovery behavior applies to storage exhaustion, permission denial, process death, and interrupted operations?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12. Testing, Quality Gates, and Evidence</w:t>
      </w:r>
    </w:p>
    <w:p>
      <w:pPr>
        <w:keepNext/>
        <w:spacing w:before="120" w:after="100"/>
      </w:pPr>
      <w:r>
        <w:rPr>
          <w:rFonts w:ascii="Calibri" w:hAnsi="Calibri"/>
          <w:b/>
          <w:i w:val="0"/>
          <w:color w:val="2E74B5"/>
          <w:sz w:val="22"/>
        </w:rPr>
        <w:t xml:space="preserve">QAT-001  </w:t>
      </w:r>
      <w:r>
        <w:rPr>
          <w:rFonts w:ascii="Calibri" w:hAnsi="Calibri"/>
          <w:b/>
          <w:i w:val="0"/>
          <w:color w:val="1F4D78"/>
          <w:sz w:val="22"/>
        </w:rPr>
        <w:t>What device, Android, screen, memory, storage, locale, RTL, font-scale, and accessibility matrix applies?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QAT-002  </w:t>
      </w:r>
      <w:r>
        <w:rPr>
          <w:rFonts w:ascii="Calibri" w:hAnsi="Calibri"/>
          <w:b/>
          <w:i w:val="0"/>
          <w:color w:val="1F4D78"/>
          <w:sz w:val="22"/>
        </w:rPr>
        <w:t>Which unit, widget, integration, migration, security, manual, regression, performance, battery, accessibility, and upgrade tests run at each gate?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QAT-003  </w:t>
      </w:r>
      <w:r>
        <w:rPr>
          <w:rFonts w:ascii="Calibri" w:hAnsi="Calibri"/>
          <w:b/>
          <w:i w:val="0"/>
          <w:color w:val="1F4D78"/>
          <w:sz w:val="22"/>
        </w:rPr>
        <w:t>What analyzer, build, report, UI, profile, security, documentation, defect, waiver, and traceability evidence is required?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13. Maintainability, Documentation, and Release Governance</w:t>
      </w:r>
    </w:p>
    <w:p>
      <w:pPr>
        <w:keepNext/>
        <w:spacing w:before="120" w:after="100"/>
      </w:pPr>
      <w:r>
        <w:rPr>
          <w:rFonts w:ascii="Calibri" w:hAnsi="Calibri"/>
          <w:b/>
          <w:i w:val="0"/>
          <w:color w:val="2E74B5"/>
          <w:sz w:val="22"/>
        </w:rPr>
        <w:t xml:space="preserve">MNT-001  </w:t>
      </w:r>
      <w:r>
        <w:rPr>
          <w:rFonts w:ascii="Calibri" w:hAnsi="Calibri"/>
          <w:b/>
          <w:i w:val="0"/>
          <w:color w:val="1F4D78"/>
          <w:sz w:val="22"/>
        </w:rPr>
        <w:t>Which state, DI, navigation, SQLite, model, logging, localization, and test technologies are approved within the unchanged architecture?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MNT-002  </w:t>
      </w:r>
      <w:r>
        <w:rPr>
          <w:rFonts w:ascii="Calibri" w:hAnsi="Calibri"/>
          <w:b/>
          <w:i w:val="0"/>
          <w:color w:val="1F4D78"/>
          <w:sz w:val="22"/>
        </w:rPr>
        <w:t>What dependency, security response, licensing, versioning, release, downgrade, rollback, and documentation policies apply?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MNT-003  </w:t>
      </w:r>
      <w:r>
        <w:rPr>
          <w:rFonts w:ascii="Calibri" w:hAnsi="Calibri"/>
          <w:b/>
          <w:i w:val="0"/>
          <w:color w:val="1F4D78"/>
          <w:sz w:val="22"/>
        </w:rPr>
        <w:t>Who approves exceptions, and what measurable definitions replace absolute quality claims?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14. Approval and Next-Step Gate</w:t>
      </w:r>
    </w:p>
    <w:p>
      <w:pPr>
        <w:keepNext/>
        <w:spacing w:before="120" w:after="100"/>
      </w:pPr>
      <w:r>
        <w:rPr>
          <w:rFonts w:ascii="Calibri" w:hAnsi="Calibri"/>
          <w:b/>
          <w:i w:val="0"/>
          <w:color w:val="2E74B5"/>
          <w:sz w:val="22"/>
        </w:rPr>
        <w:t xml:space="preserve">GAT-001  </w:t>
      </w:r>
      <w:r>
        <w:rPr>
          <w:rFonts w:ascii="Calibri" w:hAnsi="Calibri"/>
          <w:b/>
          <w:i w:val="0"/>
          <w:color w:val="1F4D78"/>
          <w:sz w:val="22"/>
        </w:rPr>
        <w:t>Is Part 1A approved for controlled answers while implementation remains paused?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pPr>
        <w:keepNext/>
        <w:spacing w:before="120" w:after="100"/>
      </w:pPr>
      <w:r>
        <w:rPr>
          <w:rFonts w:ascii="Calibri" w:hAnsi="Calibri"/>
          <w:b/>
          <w:i w:val="0"/>
          <w:color w:val="2E74B5"/>
          <w:sz w:val="22"/>
        </w:rPr>
        <w:t xml:space="preserve">GAT-002  </w:t>
      </w:r>
      <w:r>
        <w:rPr>
          <w:rFonts w:ascii="Calibri" w:hAnsi="Calibri"/>
          <w:b/>
          <w:i w:val="0"/>
          <w:color w:val="1F4D78"/>
          <w:sz w:val="22"/>
        </w:rPr>
        <w:t>Who will provide the authoritative existing database design for conformance review?</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status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Decision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Final approved answer</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Rationale and trade-offs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Constraints, assumptions, and dependencies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Required evidence or follow-up actions</w:t>
            </w:r>
          </w:p>
        </w:tc>
        <w:tc>
          <w:tcPr>
            <w:tcW w:type="dxa" w:w="6660"/>
            <w:vAlign w:val="center"/>
            <w:tcMar>
              <w:top w:w="100" w:type="dxa"/>
              <w:start w:w="120" w:type="dxa"/>
              <w:bottom w:w="100" w:type="dxa"/>
              <w:end w:w="120" w:type="dxa"/>
            </w:tcMar>
          </w:tcPr>
          <w:p>
            <w:pPr>
              <w:spacing w:after="60"/>
            </w:pPr>
            <w:r>
              <w:rPr>
                <w:rFonts w:ascii="Calibri" w:hAnsi="Calibri"/>
                <w:b/>
                <w:i w:val="0"/>
                <w:color w:val="1F4D78"/>
                <w:sz w:val="19"/>
              </w:rPr>
            </w:r>
          </w:p>
          <w:p>
            <w:pPr>
              <w:spacing w:after="60"/>
            </w:pPr>
            <w:r>
              <w:rPr>
                <w:rFonts w:ascii="Calibri" w:hAnsi="Calibri"/>
                <w:b w:val="0"/>
                <w:i/>
                <w:color w:val="5F6B7A"/>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record</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Approver: [Name / role]    Outcome: [Pending]</w:t>
            </w:r>
          </w:p>
          <w:p>
            <w:r>
              <w:rPr>
                <w:rFonts w:ascii="Calibri" w:hAnsi="Calibri"/>
                <w:b w:val="0"/>
                <w:i w:val="0"/>
                <w:color w:val="5F6B7A"/>
                <w:sz w:val="19"/>
              </w:rPr>
              <w:t>Approval date: [YYYY-MM-DD]    Target date: [YYYY-MM-DD]</w:t>
            </w:r>
          </w:p>
          <w:p>
            <w:r>
              <w:rPr>
                <w:rFonts w:ascii="Calibri" w:hAnsi="Calibri"/>
                <w:b w:val="0"/>
                <w:i/>
                <w:color w:val="5F6B7A"/>
                <w:sz w:val="19"/>
              </w:rPr>
              <w:t>Sign-off notes: [Enter response]</w:t>
            </w:r>
          </w:p>
        </w:tc>
      </w:tr>
    </w:tbl>
    <w:p>
      <w:pPr>
        <w:spacing w:after="60"/>
      </w:pPr>
    </w:p>
    <w:p>
      <w:r>
        <w:br w:type="page"/>
      </w:r>
    </w:p>
    <w:p>
      <w:pPr>
        <w:pStyle w:val="Heading1"/>
      </w:pPr>
      <w:r>
        <w:t>Final Phase Approval</w:t>
      </w:r>
    </w:p>
    <w:p>
      <w:r>
        <w:t>Implementation may begin only after all approval-blocking answers are approved, unresolved dependencies are explicitly accepted, the existing database design has been reviewed against the finalized answers, and the project owner authorizes the next phase.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Overall outcome</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[Pending / Approved / Approved with conditions / Rejected]</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Open decisions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[List IDs or None]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Conditions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[Enter response]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Project owner</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[Name / role]</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Approval date</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[YYYY-MM-DD]</w:t>
            </w:r>
          </w:p>
        </w:tc>
      </w:tr>
      <w:tr>
        <w:trPr>
          <w:cantSplit/>
        </w:trPr>
        <w:tc>
          <w:tcPr>
            <w:tcW w:type="dxa" w:w="2700"/>
            <w:vAlign w:val="center"/>
            <w:tcMar>
              <w:top w:w="100" w:type="dxa"/>
              <w:start w:w="120" w:type="dxa"/>
              <w:bottom w:w="100" w:type="dxa"/>
              <w:end w:w="120" w:type="dxa"/>
            </w:tcMar>
            <w:shd w:fill="E8EEF5"/>
          </w:tcPr>
          <w:p>
            <w:pPr>
              <w:spacing w:after="40"/>
            </w:pPr>
            <w:r>
              <w:rPr>
                <w:rFonts w:ascii="Calibri" w:hAnsi="Calibri"/>
                <w:b/>
                <w:i w:val="0"/>
                <w:color w:val="1F4D78"/>
                <w:sz w:val="19"/>
              </w:rPr>
              <w:t>Authorization notes</w:t>
            </w:r>
          </w:p>
        </w:tc>
        <w:tc>
          <w:tcPr>
            <w:tcW w:type="dxa" w:w="6660"/>
            <w:vAlign w:val="center"/>
            <w:tcMar>
              <w:top w:w="100" w:type="dxa"/>
              <w:start w:w="120" w:type="dxa"/>
              <w:bottom w:w="100" w:type="dxa"/>
              <w:end w:w="120" w:type="dxa"/>
            </w:tcMar>
          </w:tcPr>
          <w:p>
            <w:pPr>
              <w:spacing w:after="40"/>
            </w:pPr>
            <w:r>
              <w:rPr>
                <w:rFonts w:ascii="Calibri" w:hAnsi="Calibri"/>
                <w:b/>
                <w:i w:val="0"/>
                <w:color w:val="1F4D78"/>
                <w:sz w:val="19"/>
              </w:rPr>
            </w:r>
            <w:r>
              <w:rPr>
                <w:rFonts w:ascii="Calibri" w:hAnsi="Calibri"/>
                <w:b w:val="0"/>
                <w:i w:val="0"/>
                <w:color w:val="1E293B"/>
                <w:sz w:val="19"/>
              </w:rPr>
              <w:t>[Enter response]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F6B7A"/>
        <w:sz w:val="17"/>
      </w:rPr>
      <w:t>ANAS LIFE OS  |  REQUIREMENTS ANSWERS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1B – Requirements Answers Template</dc:title>
  <dc:subject>Controlled answer sheet for Part 1A clarification questions</dc:subject>
  <dc:creator>Anas Life OS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