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3F51B5"/>
        </w:rPr>
        <w:t>AUTHORITATIVE PROJECT BASELINE</w:t>
      </w:r>
    </w:p>
    <w:p>
      <w:pPr>
        <w:pStyle w:val="Title"/>
      </w:pPr>
      <w:r>
        <w:t>Part 1 - Project Vision &amp; Engineering Baseline (Master)</w:t>
      </w:r>
    </w:p>
    <w:p>
      <w:pPr>
        <w:pStyle w:val="Subtitle"/>
      </w:pPr>
      <w:r>
        <w:t>Consolidation of approved project charter and final baseline decisions; no new requirement or approved-meaning change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Project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Anas Life OS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Approved Master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Effective date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29 July 2026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Authority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1; Parts 1A and 1B; approved Final Validation decisions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Scope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Planning only; no implementation code</w:t>
            </w:r>
          </w:p>
        </w:tc>
      </w:tr>
    </w:tbl>
    <w:p>
      <w:pPr>
        <w:pStyle w:val="Heading1"/>
      </w:pPr>
      <w:r>
        <w:t>1. Purpose and authority</w:t>
      </w:r>
    </w:p>
    <w:p>
      <w:r>
        <w:t>This Master consolidates only already-approved Part 1 content and final approved baseline decisions. Parts 1A and 1B remain authoritative clarification records and are traced through document-qualified identifiers.</w:t>
      </w:r>
    </w:p>
    <w:p>
      <w:pPr>
        <w:pStyle w:val="Heading1"/>
      </w:pPr>
      <w:r>
        <w:t>2. Approved baseline requirements</w:t>
      </w:r>
    </w:p>
    <w:p>
      <w:pPr>
        <w:pStyle w:val="Heading2"/>
      </w:pPr>
      <w:r>
        <w:t>P1-PROJ-001  Project identity and platform</w:t>
      </w:r>
    </w:p>
    <w:p>
      <w:r>
        <w:t>Anas Life OS shall be Android-only, use Flutter with a Kotlin native layer, support Android 11 minimum, and target Android 14 or later.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Build configuration and API 30/current-target build review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PROJECT; Part 11 Sprint 1</w:t>
            </w:r>
          </w:p>
        </w:tc>
      </w:tr>
    </w:tbl>
    <w:p>
      <w:pPr>
        <w:pStyle w:val="Heading2"/>
      </w:pPr>
      <w:r>
        <w:t>P1-PROJ-002  Application identity and signing</w:t>
      </w:r>
    </w:p>
    <w:p>
      <w:r>
        <w:t>The application ID shall be com.anaslifeos.app. Development builds use debug signing. The production signing key remains under user-only custody and outside source control, workspace, CI, and app packages.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Small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Identity/signature inspection and secret scan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Final approval Decision 2; Part 10</w:t>
            </w:r>
          </w:p>
        </w:tc>
      </w:tr>
    </w:tbl>
    <w:p>
      <w:pPr>
        <w:pStyle w:val="Heading2"/>
      </w:pPr>
      <w:r>
        <w:t>P1-VIS-001  Product vision</w:t>
      </w:r>
    </w:p>
    <w:p>
      <w:r>
        <w:t>The product shall be an advanced offline personal Life Operating System, not merely a task manager, providing a unified foundation for personal productivity and information management.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Cross-part scope and Version 1 acceptance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PROJECT GOAL; Part 2 Master</w:t>
            </w:r>
          </w:p>
        </w:tc>
      </w:tr>
    </w:tbl>
    <w:p>
      <w:pPr>
        <w:pStyle w:val="Heading2"/>
      </w:pPr>
      <w:r>
        <w:t>P1-PRIV-001  Privacy-first ownership</w:t>
      </w:r>
    </w:p>
    <w:p>
      <w:r>
        <w:t>Core data remains on the device. Version 1 requires no cloud, login, account, advertising, analytics, tracking, or Internet connection; the user owns and controls local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Offline integration, manifest, dependency, and data-flow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PROJECT GOAL; Part 3 NFR-OFF</w:t>
            </w:r>
          </w:p>
        </w:tc>
      </w:tr>
    </w:tbl>
    <w:p>
      <w:pPr>
        <w:pStyle w:val="Heading2"/>
      </w:pPr>
      <w:r>
        <w:t>P1-DEV-001  Quality-first execution</w:t>
      </w:r>
    </w:p>
    <w:p>
      <w:r>
        <w:t>Each feature shall be completed, validated, reviewed, and approved before another begins; quality has priority over speed.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and feature gate evidence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DEVELOPMENT STYLE; Part 6/11</w:t>
            </w:r>
          </w:p>
        </w:tc>
      </w:tr>
    </w:tbl>
    <w:p>
      <w:pPr>
        <w:pStyle w:val="Heading2"/>
      </w:pPr>
      <w:r>
        <w:t>P1-ARCH-001  Approved architecture</w:t>
      </w:r>
    </w:p>
    <w:p>
      <w:r>
        <w:t>Use Clean Architecture, Feature First, Repository Pattern, dependency injection, SOLID, DRY, KISS, YAGNI, modular boundaries, and the approved MVVM/Riverpod design.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Dependency graph and architecture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ARCHITECTURE; Part 5; VR-002/003</w:t>
            </w:r>
          </w:p>
        </w:tc>
      </w:tr>
    </w:tbl>
    <w:p>
      <w:pPr>
        <w:pStyle w:val="Heading2"/>
      </w:pPr>
      <w:r>
        <w:t>P1-ARCH-002  Plugin and AI boundaries</w:t>
      </w:r>
    </w:p>
    <w:p>
      <w:r>
        <w:t>Plugin and AI capabilities remain isolated, optional, replaceable, and nonessential to Version 1 core behavior.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Dependency isolation and failure contract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1; Part 5/9; VR-010</w:t>
            </w:r>
          </w:p>
        </w:tc>
      </w:tr>
    </w:tbl>
    <w:p>
      <w:pPr>
        <w:pStyle w:val="Heading2"/>
      </w:pPr>
      <w:r>
        <w:t>P1-UI-001  UI baseline</w:t>
      </w:r>
    </w:p>
    <w:p>
      <w:r>
        <w:t>Use Material 3 with responsive/adaptive layouts, light/dark themes, large fonts, accessibility, RTL/LTR, and smooth motion targeting 60 FPS.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Widget, theme, accessibility, RTL/LTR, and frame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UI; Part 5/8</w:t>
            </w:r>
          </w:p>
        </w:tc>
      </w:tr>
    </w:tbl>
    <w:p>
      <w:pPr>
        <w:pStyle w:val="Heading2"/>
      </w:pPr>
      <w:r>
        <w:t>P1-THEME-001  Theme seed and customization</w:t>
      </w:r>
    </w:p>
    <w:p>
      <w:r>
        <w:t>#3F51B5 is only the default seed color. Dynamic Color and complete user theme customization remain supported.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Theme token and mode matrix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Final approval Decision 5; Part 8</w:t>
            </w:r>
          </w:p>
        </w:tc>
      </w:tr>
    </w:tbl>
    <w:p>
      <w:pPr>
        <w:pStyle w:val="Heading2"/>
      </w:pPr>
      <w:r>
        <w:t>P1-DB-001  Database-first SQLite</w:t>
      </w:r>
    </w:p>
    <w:p>
      <w:r>
        <w:t>Preserve the approved database-first approach. SQLite shall be normalized, indexed, scalable, migration-ready, and accessed only through approved layers.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Schema, migration, query-plan, and repository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DATABASE; Part 4</w:t>
            </w:r>
          </w:p>
        </w:tc>
      </w:tr>
    </w:tbl>
    <w:p>
      <w:pPr>
        <w:pStyle w:val="Heading2"/>
      </w:pPr>
      <w:r>
        <w:t>P1-DB-002  Column profiles</w:t>
      </w:r>
    </w:p>
    <w:p>
      <w:r>
        <w:t>Business/entity tables receive complete lifecycle columns. Join, audit, FTS, cache, history, and schema tables receive only purpose-appropriate columns.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Automated schema-profile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Final approval Decision 3; Part 4</w:t>
            </w:r>
          </w:p>
        </w:tc>
      </w:tr>
    </w:tbl>
    <w:p>
      <w:pPr>
        <w:pStyle w:val="Heading2"/>
      </w:pPr>
      <w:r>
        <w:t>P1-DB-003  Soft delete</w:t>
      </w:r>
    </w:p>
    <w:p>
      <w:r>
        <w:t>Version 1 user-owned business records use the approved soft-delete/recycle path and remain restorable; no Delete Forever action ships.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Delete/restore schema and workflow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2-10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DATABASE; Part 4; VR-009</w:t>
            </w:r>
          </w:p>
        </w:tc>
      </w:tr>
    </w:tbl>
    <w:p>
      <w:pPr>
        <w:pStyle w:val="Heading2"/>
      </w:pPr>
      <w:r>
        <w:t>P1-SEC-001  Local security controls</w:t>
      </w:r>
    </w:p>
    <w:p>
      <w:r>
        <w:t>Encrypt sensitive data, support PIN, Android biometric authentication and app auto-lock, and never store passwords or PINs in plain text.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Security, secure-storage, PIN and biometric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SECURITY; Part 2 SEC</w:t>
            </w:r>
          </w:p>
        </w:tc>
      </w:tr>
    </w:tbl>
    <w:p>
      <w:pPr>
        <w:pStyle w:val="Heading2"/>
      </w:pPr>
      <w:r>
        <w:t>P1-SEC-002  Cryptographic baseline</w:t>
      </w:r>
    </w:p>
    <w:p>
      <w:r>
        <w:t>Use SQLCipher-compatible encrypted SQLite, AES-256-GCM, an Android Keystore-wrapped master key, and Argon2id backup keys. Version 1 performs no failed-PIN wipe. Crypto providers/algorithms remain replaceable without architecture redesign.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Design review, known-answer/key lifecycle/provider substitution and backup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1, 2, 9, 10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Final approval Decision 4; Part 3/4/10</w:t>
            </w:r>
          </w:p>
        </w:tc>
      </w:tr>
    </w:tbl>
    <w:p>
      <w:pPr>
        <w:pStyle w:val="Heading2"/>
      </w:pPr>
      <w:r>
        <w:t>P1-PERF-001  Performance baseline</w:t>
      </w:r>
    </w:p>
    <w:p>
      <w:r>
        <w:t>Target cold start below two seconds, optimized memory and battery, lazy loading, pagination, image caching, background optimization, and zero known memory leaks.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Macrobenchmark, memory, battery, and large-data profiling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PERFORMANCE; Part 3 PERF/BAT/MEM</w:t>
            </w:r>
          </w:p>
        </w:tc>
      </w:tr>
    </w:tbl>
    <w:p>
      <w:pPr>
        <w:pStyle w:val="Heading2"/>
      </w:pPr>
      <w:r>
        <w:t>P1-CODE-001  Code quality</w:t>
      </w:r>
    </w:p>
    <w:p>
      <w:r>
        <w:t>No duplicated, dead, commented-out legacy, TODO, FIXME, or temporary-hack code; use readable names, focused functions, and single-responsibility classes.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Analyzer, lint, pattern, duplication, and review gates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CODE QUALITY; Part 3 CODE</w:t>
            </w:r>
          </w:p>
        </w:tc>
      </w:tr>
    </w:tbl>
    <w:p>
      <w:pPr>
        <w:pStyle w:val="Heading2"/>
      </w:pPr>
      <w:r>
        <w:t>P1-FILE-001  Maintainable file size</w:t>
      </w:r>
    </w:p>
    <w:p>
      <w:r>
        <w:t>Source files should ideally stay below 400 lines; review and split files when responsibility or readability warrants it, using reusable components.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Source-size and cohesion review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FILE SIZE; Part 5</w:t>
            </w:r>
          </w:p>
        </w:tc>
      </w:tr>
    </w:tbl>
    <w:p>
      <w:pPr>
        <w:pStyle w:val="Heading2"/>
      </w:pPr>
      <w:r>
        <w:t>P1-COM-001  Comment intent</w:t>
      </w:r>
    </w:p>
    <w:p>
      <w:r>
        <w:t>Use comments only where necessary to explain why, not to restate what the code does.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Small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Code review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COMMENTS; Part 10</w:t>
            </w:r>
          </w:p>
        </w:tc>
      </w:tr>
    </w:tbl>
    <w:p>
      <w:pPr>
        <w:pStyle w:val="Heading2"/>
      </w:pPr>
      <w:r>
        <w:t>P1-ERR-001  Failure handling</w:t>
      </w:r>
    </w:p>
    <w:p>
      <w:r>
        <w:t>Handle failures without uncontrolled crashes, with graceful recovery, meaningful messages, and safe local logging.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Fault-injection, recovery, logging-redaction, crash and ANR tests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ERROR HANDLING; Part 3 ERR</w:t>
            </w:r>
          </w:p>
        </w:tc>
      </w:tr>
    </w:tbl>
    <w:p>
      <w:pPr>
        <w:pStyle w:val="Heading2"/>
      </w:pPr>
      <w:r>
        <w:t>P1-TEST-001  Required evidence</w:t>
      </w:r>
    </w:p>
    <w:p>
      <w:r>
        <w:t>Each applicable feature includes unit, widget, integration, manual, regression, edge-case, performance, and battery validation evidence.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Part 7 quality evidence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TESTING; Part 7</w:t>
            </w:r>
          </w:p>
        </w:tc>
      </w:tr>
    </w:tbl>
    <w:p>
      <w:pPr>
        <w:pStyle w:val="Heading2"/>
      </w:pPr>
      <w:r>
        <w:t>P1-REV-001  Self-review</w:t>
      </w:r>
    </w:p>
    <w:p>
      <w:r>
        <w:t>After each feature, review and correct architecture, code, UI, performance, security, documentation, analyzer/build results, warnings, errors, and tests.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Feature report and approval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SELF REVIEW; Part 6</w:t>
            </w:r>
          </w:p>
        </w:tc>
      </w:tr>
    </w:tbl>
    <w:p>
      <w:pPr>
        <w:pStyle w:val="Heading2"/>
      </w:pPr>
      <w:r>
        <w:t>P1-STOP-001  Ambiguity stop rule</w:t>
      </w:r>
    </w:p>
    <w:p>
      <w:r>
        <w:t>If approved documents cannot resolve a genuine ambiguity, stop, document the exact decision needed, and await approval.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Small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Decision and change-control audit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STOP RULE; Part 6/10</w:t>
            </w:r>
          </w:p>
        </w:tc>
      </w:tr>
    </w:tbl>
    <w:p>
      <w:pPr>
        <w:pStyle w:val="Heading2"/>
      </w:pPr>
      <w:r>
        <w:t>P1-GATE-001  Quality gate</w:t>
      </w:r>
    </w:p>
    <w:p>
      <w:r>
        <w:t>Do not proceed while an applicable architecture, analyzer, build, test, UI, performance, security, or documentation gate fails.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Large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CI/manual gate evidence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QUALITY GATE; Part 7/11</w:t>
            </w:r>
          </w:p>
        </w:tc>
      </w:tr>
    </w:tbl>
    <w:p>
      <w:pPr>
        <w:pStyle w:val="Heading2"/>
      </w:pPr>
      <w:r>
        <w:t>P1-MNT-001  Ten-year maintainability</w:t>
      </w:r>
    </w:p>
    <w:p>
      <w:r>
        <w:t>Engineering decisions optimize for safe maintenance and evolution for at least ten years rather than short-term output.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Complexity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Epic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Verification Method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Architecture, dependency, migration, and documentation review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Target Sprint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Sprint 1-12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Part 1 MOST IMPORTANT RULE; Part 5/6/10</w:t>
            </w:r>
          </w:p>
        </w:tc>
      </w:tr>
    </w:tbl>
    <w:p>
      <w:pPr>
        <w:pStyle w:val="Heading1"/>
      </w:pPr>
      <w:r>
        <w:t>3. Approved consolidation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Application identity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com.anaslifeos.app; debug development signing; production key under user-only custody.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Column profiles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Complete lifecycle fields for business/entity tables; purpose-appropriate fields for special tables.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Cryptography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SQLCipher-compatible SQLite; AES-256-GCM; Keystore-wrapped master key; Argon2id; no failed-PIN wipe; modular replacement.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Theme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#3F51B5 default seed only; Dynamic Color and complete customization supported.</w:t>
            </w:r>
          </w:p>
        </w:tc>
      </w:tr>
    </w:tbl>
    <w:p>
      <w:pPr>
        <w:pStyle w:val="Heading1"/>
      </w:pPr>
      <w:r>
        <w:t>4. Open issues</w:t>
      </w:r>
    </w:p>
    <w:p>
      <w:r>
        <w:t>No unresolved Part 1 issue blocks Sprint 1. Future product choices remain controlled by their owning Master and are not Version 1 commitments.</w:t>
      </w:r>
    </w:p>
    <w:p>
      <w:pPr>
        <w:pStyle w:val="Heading1"/>
      </w:pPr>
      <w:r>
        <w:t>5. Quality gate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7260"/>
            <w:shd w:fill="EEF0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Architecture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Approved meaning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Traceability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Security decisions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</w:tr>
      <w:tr>
        <w:tc>
          <w:tcPr>
            <w:tcW w:type="dxa" w:w="2100"/>
            <w:shd w:fill="F5F6FA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Implementation code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Controlled Master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F6368"/>
        <w:sz w:val="16"/>
      </w:rPr>
      <w:t>ANAS LIFE OS | AUTHORITATIVE PROJECT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64" w:lineRule="auto"/>
    </w:pPr>
    <w:rPr>
      <w:rFonts w:ascii="Calibri" w:hAnsi="Calibri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F51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F51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634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2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