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i w:val="0"/>
          <w:color w:val="1F4D78"/>
          <w:sz w:val="48"/>
        </w:rPr>
        <w:t>Part 2A – Requirements Revision</w:t>
      </w:r>
    </w:p>
    <w:p>
      <w:pPr>
        <w:spacing w:after="280"/>
      </w:pPr>
      <w:r>
        <w:rPr>
          <w:rFonts w:ascii="Calibri" w:hAnsi="Calibri"/>
          <w:b w:val="0"/>
          <w:i w:val="0"/>
          <w:color w:val="5F6B7A"/>
          <w:sz w:val="26"/>
        </w:rPr>
        <w:t>Approved amendment to the Product Requirements Document</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Project</w:t>
            </w:r>
          </w:p>
        </w:tc>
        <w:tc>
          <w:tcPr>
            <w:tcW w:type="dxa" w:w="6660"/>
            <w:vAlign w:val="center"/>
          </w:tcPr>
          <w:p>
            <w:pPr>
              <w:spacing w:after="40"/>
            </w:pPr>
            <w:r>
              <w:rPr>
                <w:rFonts w:ascii="Calibri" w:hAnsi="Calibri"/>
                <w:b w:val="0"/>
                <w:i w:val="0"/>
                <w:color w:val="1E293B"/>
                <w:sz w:val="20"/>
              </w:rPr>
              <w:t>Anas Life OS</w:t>
            </w:r>
          </w:p>
        </w:tc>
      </w:tr>
      <w:tr>
        <w:trPr>
          <w:cantSplit/>
        </w:trPr>
        <w:tc>
          <w:tcPr>
            <w:tcW w:type="dxa" w:w="2700"/>
            <w:vAlign w:val="center"/>
            <w:shd w:fill="E8EEF5"/>
          </w:tcPr>
          <w:p>
            <w:pPr>
              <w:spacing w:after="40"/>
            </w:pPr>
            <w:r>
              <w:rPr>
                <w:rFonts w:ascii="Calibri" w:hAnsi="Calibri"/>
                <w:b/>
                <w:i w:val="0"/>
                <w:color w:val="1F4D78"/>
                <w:sz w:val="20"/>
              </w:rPr>
              <w:t>Document status</w:t>
            </w:r>
          </w:p>
        </w:tc>
        <w:tc>
          <w:tcPr>
            <w:tcW w:type="dxa" w:w="6660"/>
            <w:vAlign w:val="center"/>
          </w:tcPr>
          <w:p>
            <w:pPr>
              <w:spacing w:after="40"/>
            </w:pPr>
            <w:r>
              <w:rPr>
                <w:rFonts w:ascii="Calibri" w:hAnsi="Calibri"/>
                <w:b w:val="0"/>
                <w:i w:val="0"/>
                <w:color w:val="1E293B"/>
                <w:sz w:val="20"/>
              </w:rPr>
              <w:t>Draft for approval</w:t>
            </w:r>
          </w:p>
        </w:tc>
      </w:tr>
      <w:tr>
        <w:trPr>
          <w:cantSplit/>
        </w:trPr>
        <w:tc>
          <w:tcPr>
            <w:tcW w:type="dxa" w:w="2700"/>
            <w:vAlign w:val="center"/>
            <w:shd w:fill="E8EEF5"/>
          </w:tcPr>
          <w:p>
            <w:pPr>
              <w:spacing w:after="40"/>
            </w:pPr>
            <w:r>
              <w:rPr>
                <w:rFonts w:ascii="Calibri" w:hAnsi="Calibri"/>
                <w:b/>
                <w:i w:val="0"/>
                <w:color w:val="1F4D78"/>
                <w:sz w:val="20"/>
              </w:rPr>
              <w:t>Version</w:t>
            </w:r>
          </w:p>
        </w:tc>
        <w:tc>
          <w:tcPr>
            <w:tcW w:type="dxa" w:w="6660"/>
            <w:vAlign w:val="center"/>
          </w:tcPr>
          <w:p>
            <w:pPr>
              <w:spacing w:after="40"/>
            </w:pPr>
            <w:r>
              <w:rPr>
                <w:rFonts w:ascii="Calibri" w:hAnsi="Calibri"/>
                <w:b w:val="0"/>
                <w:i w:val="0"/>
                <w:color w:val="1E293B"/>
                <w:sz w:val="20"/>
              </w:rPr>
              <w:t>1.0</w:t>
            </w:r>
          </w:p>
        </w:tc>
      </w:tr>
      <w:tr>
        <w:trPr>
          <w:cantSplit/>
        </w:trPr>
        <w:tc>
          <w:tcPr>
            <w:tcW w:type="dxa" w:w="2700"/>
            <w:vAlign w:val="center"/>
            <w:shd w:fill="E8EEF5"/>
          </w:tcPr>
          <w:p>
            <w:pPr>
              <w:spacing w:after="40"/>
            </w:pPr>
            <w:r>
              <w:rPr>
                <w:rFonts w:ascii="Calibri" w:hAnsi="Calibri"/>
                <w:b/>
                <w:i w:val="0"/>
                <w:color w:val="1F4D78"/>
                <w:sz w:val="20"/>
              </w:rPr>
              <w:t>Authority</w:t>
            </w:r>
          </w:p>
        </w:tc>
        <w:tc>
          <w:tcPr>
            <w:tcW w:type="dxa" w:w="6660"/>
            <w:vAlign w:val="center"/>
          </w:tcPr>
          <w:p>
            <w:pPr>
              <w:spacing w:after="40"/>
            </w:pPr>
            <w:r>
              <w:rPr>
                <w:rFonts w:ascii="Calibri" w:hAnsi="Calibri"/>
                <w:b w:val="0"/>
                <w:i w:val="0"/>
                <w:color w:val="1E293B"/>
                <w:sz w:val="20"/>
              </w:rPr>
              <w:t>Part 1, Part 1A, Part 1B, and approved Part 2 review</w:t>
            </w:r>
          </w:p>
        </w:tc>
      </w:tr>
      <w:tr>
        <w:trPr>
          <w:cantSplit/>
        </w:trPr>
        <w:tc>
          <w:tcPr>
            <w:tcW w:type="dxa" w:w="2700"/>
            <w:vAlign w:val="center"/>
            <w:shd w:fill="E8EEF5"/>
          </w:tcPr>
          <w:p>
            <w:pPr>
              <w:spacing w:after="40"/>
            </w:pPr>
            <w:r>
              <w:rPr>
                <w:rFonts w:ascii="Calibri" w:hAnsi="Calibri"/>
                <w:b/>
                <w:i w:val="0"/>
                <w:color w:val="1F4D78"/>
                <w:sz w:val="20"/>
              </w:rPr>
              <w:t>Architecture</w:t>
            </w:r>
          </w:p>
        </w:tc>
        <w:tc>
          <w:tcPr>
            <w:tcW w:type="dxa" w:w="6660"/>
            <w:vAlign w:val="center"/>
          </w:tcPr>
          <w:p>
            <w:pPr>
              <w:spacing w:after="40"/>
            </w:pPr>
            <w:r>
              <w:rPr>
                <w:rFonts w:ascii="Calibri" w:hAnsi="Calibri"/>
                <w:b w:val="0"/>
                <w:i w:val="0"/>
                <w:color w:val="1E293B"/>
                <w:sz w:val="20"/>
              </w:rPr>
              <w:t>Approved; unchanged</w:t>
            </w:r>
          </w:p>
        </w:tc>
      </w:tr>
      <w:tr>
        <w:trPr>
          <w:cantSplit/>
        </w:trPr>
        <w:tc>
          <w:tcPr>
            <w:tcW w:type="dxa" w:w="2700"/>
            <w:vAlign w:val="center"/>
            <w:shd w:fill="E8EEF5"/>
          </w:tcPr>
          <w:p>
            <w:pPr>
              <w:spacing w:after="40"/>
            </w:pPr>
            <w:r>
              <w:rPr>
                <w:rFonts w:ascii="Calibri" w:hAnsi="Calibri"/>
                <w:b/>
                <w:i w:val="0"/>
                <w:color w:val="1F4D78"/>
                <w:sz w:val="20"/>
              </w:rPr>
              <w:t>Implementation</w:t>
            </w:r>
          </w:p>
        </w:tc>
        <w:tc>
          <w:tcPr>
            <w:tcW w:type="dxa" w:w="6660"/>
            <w:vAlign w:val="center"/>
          </w:tcPr>
          <w:p>
            <w:pPr>
              <w:spacing w:after="40"/>
            </w:pPr>
            <w:r>
              <w:rPr>
                <w:rFonts w:ascii="Calibri" w:hAnsi="Calibri"/>
                <w:b w:val="0"/>
                <w:i w:val="0"/>
                <w:color w:val="1E293B"/>
                <w:sz w:val="20"/>
              </w:rPr>
              <w:t>Not authorized</w:t>
            </w:r>
          </w:p>
        </w:tc>
      </w:tr>
      <w:tr>
        <w:trPr>
          <w:cantSplit/>
        </w:trPr>
        <w:tc>
          <w:tcPr>
            <w:tcW w:type="dxa" w:w="2700"/>
            <w:vAlign w:val="center"/>
            <w:shd w:fill="E8EEF5"/>
          </w:tcPr>
          <w:p>
            <w:pPr>
              <w:spacing w:after="40"/>
            </w:pPr>
            <w:r>
              <w:rPr>
                <w:rFonts w:ascii="Calibri" w:hAnsi="Calibri"/>
                <w:b/>
                <w:i w:val="0"/>
                <w:color w:val="1F4D78"/>
                <w:sz w:val="20"/>
              </w:rPr>
              <w:t>Prepared</w:t>
            </w:r>
          </w:p>
        </w:tc>
        <w:tc>
          <w:tcPr>
            <w:tcW w:type="dxa" w:w="6660"/>
            <w:vAlign w:val="center"/>
          </w:tcPr>
          <w:p>
            <w:pPr>
              <w:spacing w:after="40"/>
            </w:pPr>
            <w:r>
              <w:rPr>
                <w:rFonts w:ascii="Calibri" w:hAnsi="Calibri"/>
                <w:b w:val="0"/>
                <w:i w:val="0"/>
                <w:color w:val="1E293B"/>
                <w:sz w:val="20"/>
              </w:rPr>
              <w:t>28 July 2026</w:t>
            </w:r>
          </w:p>
        </w:tc>
      </w:tr>
    </w:tbl>
    <w:p>
      <w:pPr>
        <w:pStyle w:val="Heading1"/>
      </w:pPr>
      <w:r>
        <w:t>1. Purpose and Authority</w:t>
      </w:r>
    </w:p>
    <w:p>
      <w:r>
        <w:t>This document records five approved requirements decisions and applies them to Part 2. It is an amendment, not an architectural redesign. Where Part 2 conflicts with an approved revision below, this document controls. All unrelated Part 1, Part 1A, Part 1B, and Part 2 requirements remain unchanged or unresolved according to their existing status.</w:t>
      </w:r>
    </w:p>
    <w:tbl>
      <w:tblPr>
        <w:tblStyle w:val="TableGrid"/>
        <w:tblW w:type="dxa" w:w="9360"/>
        <w:tblLayout w:type="fixed"/>
        <w:tblLook w:firstColumn="1" w:firstRow="1" w:lastColumn="0" w:lastRow="0" w:noHBand="0" w:noVBand="1" w:val="04A0"/>
        <w:tblInd w:w="120" w:type="dxa"/>
      </w:tblPr>
      <w:tblGrid>
        <w:gridCol w:w="9360"/>
      </w:tblGrid>
      <w:tr>
        <w:trPr>
          <w:cantSplit/>
        </w:trPr>
        <w:tc>
          <w:tcPr>
            <w:tcW w:type="dxa" w:w="9360"/>
            <w:vAlign w:val="center"/>
            <w:shd w:fill="F2F4F7"/>
          </w:tcPr>
          <w:p>
            <w:r>
              <w:rPr>
                <w:rFonts w:ascii="Calibri" w:hAnsi="Calibri"/>
                <w:b/>
                <w:i w:val="0"/>
                <w:color w:val="1F4D78"/>
                <w:sz w:val="21"/>
              </w:rPr>
              <w:t xml:space="preserve">Scope control. </w:t>
            </w:r>
            <w:r>
              <w:rPr>
                <w:rFonts w:ascii="Calibri" w:hAnsi="Calibri"/>
                <w:b w:val="0"/>
                <w:i w:val="0"/>
                <w:color w:val="1E293B"/>
                <w:sz w:val="21"/>
              </w:rPr>
              <w:t>Only the five decisions explicitly approved for this revision are finalized here. No other open requirement is inferred, answered, or redesigned.</w:t>
            </w:r>
          </w:p>
        </w:tc>
      </w:tr>
    </w:tbl>
    <w:p>
      <w:pPr>
        <w:pStyle w:val="Heading1"/>
      </w:pPr>
      <w:r>
        <w:t>2. Approved Requirements Revisions</w:t>
      </w:r>
    </w:p>
    <w:p>
      <w:pPr>
        <w:pStyle w:val="Heading2"/>
      </w:pPr>
      <w:r>
        <w:t>REV-ATT-001  Attachment Capacity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Status</w:t>
            </w:r>
          </w:p>
        </w:tc>
        <w:tc>
          <w:tcPr>
            <w:tcW w:type="dxa" w:w="6660"/>
            <w:vAlign w:val="center"/>
          </w:tcPr>
          <w:p>
            <w:pPr>
              <w:spacing w:after="40"/>
            </w:pPr>
            <w:r>
              <w:rPr>
                <w:rFonts w:ascii="Calibri" w:hAnsi="Calibri"/>
                <w:b w:val="0"/>
                <w:i w:val="0"/>
                <w:color w:val="1E293B"/>
                <w:sz w:val="20"/>
              </w:rPr>
              <w:t>Approved</w:t>
            </w:r>
          </w:p>
        </w:tc>
      </w:tr>
      <w:tr>
        <w:trPr>
          <w:cantSplit/>
        </w:trPr>
        <w:tc>
          <w:tcPr>
            <w:tcW w:type="dxa" w:w="2700"/>
            <w:vAlign w:val="center"/>
            <w:shd w:fill="E8EEF5"/>
          </w:tcPr>
          <w:p>
            <w:pPr>
              <w:spacing w:after="40"/>
            </w:pPr>
            <w:r>
              <w:rPr>
                <w:rFonts w:ascii="Calibri" w:hAnsi="Calibri"/>
                <w:b/>
                <w:i w:val="0"/>
                <w:color w:val="1F4D78"/>
                <w:sz w:val="20"/>
              </w:rPr>
              <w:t>Supersedes</w:t>
            </w:r>
          </w:p>
        </w:tc>
        <w:tc>
          <w:tcPr>
            <w:tcW w:type="dxa" w:w="6660"/>
            <w:vAlign w:val="center"/>
          </w:tcPr>
          <w:p>
            <w:pPr>
              <w:spacing w:after="40"/>
            </w:pPr>
            <w:r>
              <w:rPr>
                <w:rFonts w:ascii="Calibri" w:hAnsi="Calibri"/>
                <w:b w:val="0"/>
                <w:i w:val="0"/>
                <w:color w:val="1E293B"/>
                <w:sz w:val="20"/>
              </w:rPr>
              <w:t>DOC-001: Unlimited Attachments</w:t>
            </w:r>
          </w:p>
        </w:tc>
      </w:tr>
      <w:tr>
        <w:trPr>
          <w:cantSplit/>
        </w:trPr>
        <w:tc>
          <w:tcPr>
            <w:tcW w:type="dxa" w:w="2700"/>
            <w:vAlign w:val="center"/>
            <w:shd w:fill="E8EEF5"/>
          </w:tcPr>
          <w:p>
            <w:pPr>
              <w:spacing w:after="40"/>
            </w:pPr>
            <w:r>
              <w:rPr>
                <w:rFonts w:ascii="Calibri" w:hAnsi="Calibri"/>
                <w:b/>
                <w:i w:val="0"/>
                <w:color w:val="1F4D78"/>
                <w:sz w:val="20"/>
              </w:rPr>
              <w:t>Authoritative revision</w:t>
            </w:r>
          </w:p>
        </w:tc>
        <w:tc>
          <w:tcPr>
            <w:tcW w:type="dxa" w:w="6660"/>
            <w:vAlign w:val="center"/>
          </w:tcPr>
          <w:p>
            <w:pPr>
              <w:spacing w:after="40"/>
            </w:pPr>
            <w:r>
              <w:rPr>
                <w:rFonts w:ascii="Calibri" w:hAnsi="Calibri"/>
                <w:b w:val="0"/>
                <w:i w:val="0"/>
                <w:color w:val="1E293B"/>
                <w:sz w:val="20"/>
              </w:rPr>
              <w:t>The application shall support an unlimited number of attachments until available device storage is exhausted. The limit is physical device capacity, not a fixed application count.</w:t>
            </w:r>
          </w:p>
        </w:tc>
      </w:tr>
      <w:tr>
        <w:trPr>
          <w:cantSplit/>
        </w:trPr>
        <w:tc>
          <w:tcPr>
            <w:tcW w:type="dxa" w:w="2700"/>
            <w:vAlign w:val="center"/>
            <w:shd w:fill="E8EEF5"/>
          </w:tcPr>
          <w:p>
            <w:pPr>
              <w:spacing w:after="40"/>
            </w:pPr>
            <w:r>
              <w:rPr>
                <w:rFonts w:ascii="Calibri" w:hAnsi="Calibri"/>
                <w:b/>
                <w:i w:val="0"/>
                <w:color w:val="1F4D78"/>
                <w:sz w:val="20"/>
              </w:rPr>
              <w:t>Required implications</w:t>
            </w:r>
          </w:p>
        </w:tc>
        <w:tc>
          <w:tcPr>
            <w:tcW w:type="dxa" w:w="6660"/>
            <w:vAlign w:val="center"/>
          </w:tcPr>
          <w:p>
            <w:pPr>
              <w:spacing w:after="40"/>
            </w:pPr>
            <w:r>
              <w:rPr>
                <w:rFonts w:ascii="Calibri" w:hAnsi="Calibri"/>
                <w:b w:val="0"/>
                <w:i w:val="0"/>
                <w:color w:val="1E293B"/>
                <w:sz w:val="20"/>
              </w:rPr>
              <w:t>Before attachment writes, imports, copies, backup creation, or restoration, the application shall evaluate available storage. Low-storage and insufficient-storage conditions shall produce meaningful warnings, prevent incomplete writes, preserve existing data, and support graceful recovery without application crashes or database corruption.</w:t>
            </w:r>
          </w:p>
        </w:tc>
      </w:tr>
    </w:tbl>
    <w:p>
      <w:pPr>
        <w:pStyle w:val="Heading2"/>
      </w:pPr>
      <w:r>
        <w:t>REV-REC-001  Recoverability Boundary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Status</w:t>
            </w:r>
          </w:p>
        </w:tc>
        <w:tc>
          <w:tcPr>
            <w:tcW w:type="dxa" w:w="6660"/>
            <w:vAlign w:val="center"/>
          </w:tcPr>
          <w:p>
            <w:pPr>
              <w:spacing w:after="40"/>
            </w:pPr>
            <w:r>
              <w:rPr>
                <w:rFonts w:ascii="Calibri" w:hAnsi="Calibri"/>
                <w:b w:val="0"/>
                <w:i w:val="0"/>
                <w:color w:val="1E293B"/>
                <w:sz w:val="20"/>
              </w:rPr>
              <w:t>Approved</w:t>
            </w:r>
          </w:p>
        </w:tc>
      </w:tr>
      <w:tr>
        <w:trPr>
          <w:cantSplit/>
        </w:trPr>
        <w:tc>
          <w:tcPr>
            <w:tcW w:type="dxa" w:w="2700"/>
            <w:vAlign w:val="center"/>
            <w:shd w:fill="E8EEF5"/>
          </w:tcPr>
          <w:p>
            <w:pPr>
              <w:spacing w:after="40"/>
            </w:pPr>
            <w:r>
              <w:rPr>
                <w:rFonts w:ascii="Calibri" w:hAnsi="Calibri"/>
                <w:b/>
                <w:i w:val="0"/>
                <w:color w:val="1F4D78"/>
                <w:sz w:val="20"/>
              </w:rPr>
              <w:t>Supersedes</w:t>
            </w:r>
          </w:p>
        </w:tc>
        <w:tc>
          <w:tcPr>
            <w:tcW w:type="dxa" w:w="6660"/>
            <w:vAlign w:val="center"/>
          </w:tcPr>
          <w:p>
            <w:pPr>
              <w:spacing w:after="40"/>
            </w:pPr>
            <w:r>
              <w:rPr>
                <w:rFonts w:ascii="Calibri" w:hAnsi="Calibri"/>
                <w:b w:val="0"/>
                <w:i w:val="0"/>
                <w:color w:val="1E293B"/>
                <w:sz w:val="20"/>
              </w:rPr>
              <w:t>Product Principle: Everything recoverable</w:t>
            </w:r>
          </w:p>
        </w:tc>
      </w:tr>
      <w:tr>
        <w:trPr>
          <w:cantSplit/>
        </w:trPr>
        <w:tc>
          <w:tcPr>
            <w:tcW w:type="dxa" w:w="2700"/>
            <w:vAlign w:val="center"/>
            <w:shd w:fill="E8EEF5"/>
          </w:tcPr>
          <w:p>
            <w:pPr>
              <w:spacing w:after="40"/>
            </w:pPr>
            <w:r>
              <w:rPr>
                <w:rFonts w:ascii="Calibri" w:hAnsi="Calibri"/>
                <w:b/>
                <w:i w:val="0"/>
                <w:color w:val="1F4D78"/>
                <w:sz w:val="20"/>
              </w:rPr>
              <w:t>Authoritative revision</w:t>
            </w:r>
          </w:p>
        </w:tc>
        <w:tc>
          <w:tcPr>
            <w:tcW w:type="dxa" w:w="6660"/>
            <w:vAlign w:val="center"/>
          </w:tcPr>
          <w:p>
            <w:pPr>
              <w:spacing w:after="40"/>
            </w:pPr>
            <w:r>
              <w:rPr>
                <w:rFonts w:ascii="Calibri" w:hAnsi="Calibri"/>
                <w:b w:val="0"/>
                <w:i w:val="0"/>
                <w:color w:val="1E293B"/>
                <w:sz w:val="20"/>
              </w:rPr>
              <w:t>Application data is recoverable only when a valid encrypted backup and every required decryption or recovery key are available and valid.</w:t>
            </w:r>
          </w:p>
        </w:tc>
      </w:tr>
      <w:tr>
        <w:trPr>
          <w:cantSplit/>
        </w:trPr>
        <w:tc>
          <w:tcPr>
            <w:tcW w:type="dxa" w:w="2700"/>
            <w:vAlign w:val="center"/>
            <w:shd w:fill="E8EEF5"/>
          </w:tcPr>
          <w:p>
            <w:pPr>
              <w:spacing w:after="40"/>
            </w:pPr>
            <w:r>
              <w:rPr>
                <w:rFonts w:ascii="Calibri" w:hAnsi="Calibri"/>
                <w:b/>
                <w:i w:val="0"/>
                <w:color w:val="1F4D78"/>
                <w:sz w:val="20"/>
              </w:rPr>
              <w:t>Required implications</w:t>
            </w:r>
          </w:p>
        </w:tc>
        <w:tc>
          <w:tcPr>
            <w:tcW w:type="dxa" w:w="6660"/>
            <w:vAlign w:val="center"/>
          </w:tcPr>
          <w:p>
            <w:pPr>
              <w:spacing w:after="40"/>
            </w:pPr>
            <w:r>
              <w:rPr>
                <w:rFonts w:ascii="Calibri" w:hAnsi="Calibri"/>
                <w:b w:val="0"/>
                <w:i w:val="0"/>
                <w:color w:val="1E293B"/>
                <w:sz w:val="20"/>
              </w:rPr>
              <w:t>The product shall not promise recovery when no valid backup exists, required keys are missing, credentials are irrecoverable, the backup is corrupted, or the backup is incompatible. Backup validation, key requirements, and non-recoverable conditions must be communicated before destructive restore or reset actions.</w:t>
            </w:r>
          </w:p>
        </w:tc>
      </w:tr>
    </w:tbl>
    <w:p>
      <w:pPr>
        <w:pStyle w:val="Heading2"/>
      </w:pPr>
      <w:r>
        <w:t>REV-KV-001  Knowledge Vault Module Hierarchy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Status</w:t>
            </w:r>
          </w:p>
        </w:tc>
        <w:tc>
          <w:tcPr>
            <w:tcW w:type="dxa" w:w="6660"/>
            <w:vAlign w:val="center"/>
          </w:tcPr>
          <w:p>
            <w:pPr>
              <w:spacing w:after="40"/>
            </w:pPr>
            <w:r>
              <w:rPr>
                <w:rFonts w:ascii="Calibri" w:hAnsi="Calibri"/>
                <w:b w:val="0"/>
                <w:i w:val="0"/>
                <w:color w:val="1E293B"/>
                <w:sz w:val="20"/>
              </w:rPr>
              <w:t>Approved</w:t>
            </w:r>
          </w:p>
        </w:tc>
      </w:tr>
      <w:tr>
        <w:trPr>
          <w:cantSplit/>
        </w:trPr>
        <w:tc>
          <w:tcPr>
            <w:tcW w:type="dxa" w:w="2700"/>
            <w:vAlign w:val="center"/>
            <w:shd w:fill="E8EEF5"/>
          </w:tcPr>
          <w:p>
            <w:pPr>
              <w:spacing w:after="40"/>
            </w:pPr>
            <w:r>
              <w:rPr>
                <w:rFonts w:ascii="Calibri" w:hAnsi="Calibri"/>
                <w:b/>
                <w:i w:val="0"/>
                <w:color w:val="1F4D78"/>
                <w:sz w:val="20"/>
              </w:rPr>
              <w:t>Supersedes</w:t>
            </w:r>
          </w:p>
        </w:tc>
        <w:tc>
          <w:tcPr>
            <w:tcW w:type="dxa" w:w="6660"/>
            <w:vAlign w:val="center"/>
          </w:tcPr>
          <w:p>
            <w:pPr>
              <w:spacing w:after="40"/>
            </w:pPr>
            <w:r>
              <w:rPr>
                <w:rFonts w:ascii="Calibri" w:hAnsi="Calibri"/>
                <w:b w:val="0"/>
                <w:i w:val="0"/>
                <w:color w:val="1E293B"/>
                <w:sz w:val="20"/>
              </w:rPr>
              <w:t>Part 2 core-module treatment of Notes, Documents, and Knowledge Vault as separate peers</w:t>
            </w:r>
          </w:p>
        </w:tc>
      </w:tr>
      <w:tr>
        <w:trPr>
          <w:cantSplit/>
        </w:trPr>
        <w:tc>
          <w:tcPr>
            <w:tcW w:type="dxa" w:w="2700"/>
            <w:vAlign w:val="center"/>
            <w:shd w:fill="E8EEF5"/>
          </w:tcPr>
          <w:p>
            <w:pPr>
              <w:spacing w:after="40"/>
            </w:pPr>
            <w:r>
              <w:rPr>
                <w:rFonts w:ascii="Calibri" w:hAnsi="Calibri"/>
                <w:b/>
                <w:i w:val="0"/>
                <w:color w:val="1F4D78"/>
                <w:sz w:val="20"/>
              </w:rPr>
              <w:t>Authoritative revision</w:t>
            </w:r>
          </w:p>
        </w:tc>
        <w:tc>
          <w:tcPr>
            <w:tcW w:type="dxa" w:w="6660"/>
            <w:vAlign w:val="center"/>
          </w:tcPr>
          <w:p>
            <w:pPr>
              <w:spacing w:after="40"/>
            </w:pPr>
            <w:r>
              <w:rPr>
                <w:rFonts w:ascii="Calibri" w:hAnsi="Calibri"/>
                <w:b w:val="0"/>
                <w:i w:val="0"/>
                <w:color w:val="1E293B"/>
                <w:sz w:val="20"/>
              </w:rPr>
              <w:t>Knowledge Vault is the parent module. Notes, Journal, Wiki, and Documents are Knowledge Vault submodules. They are not independent core domains.</w:t>
            </w:r>
          </w:p>
        </w:tc>
      </w:tr>
      <w:tr>
        <w:trPr>
          <w:cantSplit/>
        </w:trPr>
        <w:tc>
          <w:tcPr>
            <w:tcW w:type="dxa" w:w="2700"/>
            <w:vAlign w:val="center"/>
            <w:shd w:fill="E8EEF5"/>
          </w:tcPr>
          <w:p>
            <w:pPr>
              <w:spacing w:after="40"/>
            </w:pPr>
            <w:r>
              <w:rPr>
                <w:rFonts w:ascii="Calibri" w:hAnsi="Calibri"/>
                <w:b/>
                <w:i w:val="0"/>
                <w:color w:val="1F4D78"/>
                <w:sz w:val="20"/>
              </w:rPr>
              <w:t>Required implications</w:t>
            </w:r>
          </w:p>
        </w:tc>
        <w:tc>
          <w:tcPr>
            <w:tcW w:type="dxa" w:w="6660"/>
            <w:vAlign w:val="center"/>
          </w:tcPr>
          <w:p>
            <w:pPr>
              <w:spacing w:after="40"/>
            </w:pPr>
            <w:r>
              <w:rPr>
                <w:rFonts w:ascii="Calibri" w:hAnsi="Calibri"/>
                <w:b w:val="0"/>
                <w:i w:val="0"/>
                <w:color w:val="1E293B"/>
                <w:sz w:val="20"/>
              </w:rPr>
              <w:t>Shared Knowledge Vault policies shall govern categorization, search, tags, cross-references, security, deletion, backup, and restoration. Submodules may have specialized behaviors, but they remain inside the Knowledge Vault boundary. Attachments remain a shared capability associated with authorized entities and Knowledge Vault content.</w:t>
            </w:r>
          </w:p>
        </w:tc>
      </w:tr>
    </w:tbl>
    <w:p>
      <w:pPr>
        <w:pStyle w:val="Heading2"/>
      </w:pPr>
      <w:r>
        <w:t>REV-DASH-001  Customizable Dashboard</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Status</w:t>
            </w:r>
          </w:p>
        </w:tc>
        <w:tc>
          <w:tcPr>
            <w:tcW w:type="dxa" w:w="6660"/>
            <w:vAlign w:val="center"/>
          </w:tcPr>
          <w:p>
            <w:pPr>
              <w:spacing w:after="40"/>
            </w:pPr>
            <w:r>
              <w:rPr>
                <w:rFonts w:ascii="Calibri" w:hAnsi="Calibri"/>
                <w:b w:val="0"/>
                <w:i w:val="0"/>
                <w:color w:val="1E293B"/>
                <w:sz w:val="20"/>
              </w:rPr>
              <w:t>Approved</w:t>
            </w:r>
          </w:p>
        </w:tc>
      </w:tr>
      <w:tr>
        <w:trPr>
          <w:cantSplit/>
        </w:trPr>
        <w:tc>
          <w:tcPr>
            <w:tcW w:type="dxa" w:w="2700"/>
            <w:vAlign w:val="center"/>
            <w:shd w:fill="E8EEF5"/>
          </w:tcPr>
          <w:p>
            <w:pPr>
              <w:spacing w:after="40"/>
            </w:pPr>
            <w:r>
              <w:rPr>
                <w:rFonts w:ascii="Calibri" w:hAnsi="Calibri"/>
                <w:b/>
                <w:i w:val="0"/>
                <w:color w:val="1F4D78"/>
                <w:sz w:val="20"/>
              </w:rPr>
              <w:t>Supersedes</w:t>
            </w:r>
          </w:p>
        </w:tc>
        <w:tc>
          <w:tcPr>
            <w:tcW w:type="dxa" w:w="6660"/>
            <w:vAlign w:val="center"/>
          </w:tcPr>
          <w:p>
            <w:pPr>
              <w:spacing w:after="40"/>
            </w:pPr>
            <w:r>
              <w:rPr>
                <w:rFonts w:ascii="Calibri" w:hAnsi="Calibri"/>
                <w:b w:val="0"/>
                <w:i w:val="0"/>
                <w:color w:val="1E293B"/>
                <w:sz w:val="20"/>
              </w:rPr>
              <w:t>Static interpretation of DASH-001 and DASH-002</w:t>
            </w:r>
          </w:p>
        </w:tc>
      </w:tr>
      <w:tr>
        <w:trPr>
          <w:cantSplit/>
        </w:trPr>
        <w:tc>
          <w:tcPr>
            <w:tcW w:type="dxa" w:w="2700"/>
            <w:vAlign w:val="center"/>
            <w:shd w:fill="E8EEF5"/>
          </w:tcPr>
          <w:p>
            <w:pPr>
              <w:spacing w:after="40"/>
            </w:pPr>
            <w:r>
              <w:rPr>
                <w:rFonts w:ascii="Calibri" w:hAnsi="Calibri"/>
                <w:b/>
                <w:i w:val="0"/>
                <w:color w:val="1F4D78"/>
                <w:sz w:val="20"/>
              </w:rPr>
              <w:t>Authoritative revision</w:t>
            </w:r>
          </w:p>
        </w:tc>
        <w:tc>
          <w:tcPr>
            <w:tcW w:type="dxa" w:w="6660"/>
            <w:vAlign w:val="center"/>
          </w:tcPr>
          <w:p>
            <w:pPr>
              <w:spacing w:after="40"/>
            </w:pPr>
            <w:r>
              <w:rPr>
                <w:rFonts w:ascii="Calibri" w:hAnsi="Calibri"/>
                <w:b w:val="0"/>
                <w:i w:val="0"/>
                <w:color w:val="1E293B"/>
                <w:sz w:val="20"/>
              </w:rPr>
              <w:t>The dashboard shall be fully customizable. Users may show, hide, reorder, and resize dashboard widgets.</w:t>
            </w:r>
          </w:p>
        </w:tc>
      </w:tr>
      <w:tr>
        <w:trPr>
          <w:cantSplit/>
        </w:trPr>
        <w:tc>
          <w:tcPr>
            <w:tcW w:type="dxa" w:w="2700"/>
            <w:vAlign w:val="center"/>
            <w:shd w:fill="E8EEF5"/>
          </w:tcPr>
          <w:p>
            <w:pPr>
              <w:spacing w:after="40"/>
            </w:pPr>
            <w:r>
              <w:rPr>
                <w:rFonts w:ascii="Calibri" w:hAnsi="Calibri"/>
                <w:b/>
                <w:i w:val="0"/>
                <w:color w:val="1F4D78"/>
                <w:sz w:val="20"/>
              </w:rPr>
              <w:t>Required implications</w:t>
            </w:r>
          </w:p>
        </w:tc>
        <w:tc>
          <w:tcPr>
            <w:tcW w:type="dxa" w:w="6660"/>
            <w:vAlign w:val="center"/>
          </w:tcPr>
          <w:p>
            <w:pPr>
              <w:spacing w:after="40"/>
            </w:pPr>
            <w:r>
              <w:rPr>
                <w:rFonts w:ascii="Calibri" w:hAnsi="Calibri"/>
                <w:b w:val="0"/>
                <w:i w:val="0"/>
                <w:color w:val="1E293B"/>
                <w:sz w:val="20"/>
              </w:rPr>
              <w:t>Customization shall be persisted locally, restored after restart, and included in applicable backup and restore behavior. A safe default layout and reset-to-default action are required. Resizing and reordering must preserve accessibility, RTL/LTR behavior, responsive layout, and supported large-font settings.</w:t>
            </w:r>
          </w:p>
        </w:tc>
      </w:tr>
    </w:tbl>
    <w:p>
      <w:pPr>
        <w:pStyle w:val="Heading2"/>
      </w:pPr>
      <w:r>
        <w:t>REV-SCOPE-001  Future Module Boundary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Status</w:t>
            </w:r>
          </w:p>
        </w:tc>
        <w:tc>
          <w:tcPr>
            <w:tcW w:type="dxa" w:w="6660"/>
            <w:vAlign w:val="center"/>
          </w:tcPr>
          <w:p>
            <w:pPr>
              <w:spacing w:after="40"/>
            </w:pPr>
            <w:r>
              <w:rPr>
                <w:rFonts w:ascii="Calibri" w:hAnsi="Calibri"/>
                <w:b w:val="0"/>
                <w:i w:val="0"/>
                <w:color w:val="1E293B"/>
                <w:sz w:val="20"/>
              </w:rPr>
              <w:t>Approved</w:t>
            </w:r>
          </w:p>
        </w:tc>
      </w:tr>
      <w:tr>
        <w:trPr>
          <w:cantSplit/>
        </w:trPr>
        <w:tc>
          <w:tcPr>
            <w:tcW w:type="dxa" w:w="2700"/>
            <w:vAlign w:val="center"/>
            <w:shd w:fill="E8EEF5"/>
          </w:tcPr>
          <w:p>
            <w:pPr>
              <w:spacing w:after="40"/>
            </w:pPr>
            <w:r>
              <w:rPr>
                <w:rFonts w:ascii="Calibri" w:hAnsi="Calibri"/>
                <w:b/>
                <w:i w:val="0"/>
                <w:color w:val="1F4D78"/>
                <w:sz w:val="20"/>
              </w:rPr>
              <w:t>Supersedes</w:t>
            </w:r>
          </w:p>
        </w:tc>
        <w:tc>
          <w:tcPr>
            <w:tcW w:type="dxa" w:w="6660"/>
            <w:vAlign w:val="center"/>
          </w:tcPr>
          <w:p>
            <w:pPr>
              <w:spacing w:after="40"/>
            </w:pPr>
            <w:r>
              <w:rPr>
                <w:rFonts w:ascii="Calibri" w:hAnsi="Calibri"/>
                <w:b w:val="0"/>
                <w:i w:val="0"/>
                <w:color w:val="1E293B"/>
                <w:sz w:val="20"/>
              </w:rPr>
              <w:t>Any interpretation that places Password Vault, Expense Manager, or Health Tracker in version 1</w:t>
            </w:r>
          </w:p>
        </w:tc>
      </w:tr>
      <w:tr>
        <w:trPr>
          <w:cantSplit/>
        </w:trPr>
        <w:tc>
          <w:tcPr>
            <w:tcW w:type="dxa" w:w="2700"/>
            <w:vAlign w:val="center"/>
            <w:shd w:fill="E8EEF5"/>
          </w:tcPr>
          <w:p>
            <w:pPr>
              <w:spacing w:after="40"/>
            </w:pPr>
            <w:r>
              <w:rPr>
                <w:rFonts w:ascii="Calibri" w:hAnsi="Calibri"/>
                <w:b/>
                <w:i w:val="0"/>
                <w:color w:val="1F4D78"/>
                <w:sz w:val="20"/>
              </w:rPr>
              <w:t>Authoritative revision</w:t>
            </w:r>
          </w:p>
        </w:tc>
        <w:tc>
          <w:tcPr>
            <w:tcW w:type="dxa" w:w="6660"/>
            <w:vAlign w:val="center"/>
          </w:tcPr>
          <w:p>
            <w:pPr>
              <w:spacing w:after="40"/>
            </w:pPr>
            <w:r>
              <w:rPr>
                <w:rFonts w:ascii="Calibri" w:hAnsi="Calibri"/>
                <w:b w:val="0"/>
                <w:i w:val="0"/>
                <w:color w:val="1E293B"/>
                <w:sz w:val="20"/>
              </w:rPr>
              <w:t>Password Vault, Expense Manager, and Health Tracker are Future Modules and are not included in Version 1.</w:t>
            </w:r>
          </w:p>
        </w:tc>
      </w:tr>
      <w:tr>
        <w:trPr>
          <w:cantSplit/>
        </w:trPr>
        <w:tc>
          <w:tcPr>
            <w:tcW w:type="dxa" w:w="2700"/>
            <w:vAlign w:val="center"/>
            <w:shd w:fill="E8EEF5"/>
          </w:tcPr>
          <w:p>
            <w:pPr>
              <w:spacing w:after="40"/>
            </w:pPr>
            <w:r>
              <w:rPr>
                <w:rFonts w:ascii="Calibri" w:hAnsi="Calibri"/>
                <w:b/>
                <w:i w:val="0"/>
                <w:color w:val="1F4D78"/>
                <w:sz w:val="20"/>
              </w:rPr>
              <w:t>Required implications</w:t>
            </w:r>
          </w:p>
        </w:tc>
        <w:tc>
          <w:tcPr>
            <w:tcW w:type="dxa" w:w="6660"/>
            <w:vAlign w:val="center"/>
          </w:tcPr>
          <w:p>
            <w:pPr>
              <w:spacing w:after="40"/>
            </w:pPr>
            <w:r>
              <w:rPr>
                <w:rFonts w:ascii="Calibri" w:hAnsi="Calibri"/>
                <w:b w:val="0"/>
                <w:i w:val="0"/>
                <w:color w:val="1E293B"/>
                <w:sz w:val="20"/>
              </w:rPr>
              <w:t>Version 1 requirements, navigation, database acceptance, testing, and release claims shall not depend on these modules. The existing architecture may remain extension-ready, but no version 1 implementation or completion claim includes them.</w:t>
            </w:r>
          </w:p>
        </w:tc>
      </w:tr>
    </w:tbl>
    <w:p>
      <w:pPr>
        <w:pStyle w:val="Heading1"/>
      </w:pPr>
      <w:r>
        <w:t>3. Revised Authoritative Part 2 Excerpts</w:t>
      </w:r>
    </w:p>
    <w:p>
      <w:pPr>
        <w:pStyle w:val="Heading2"/>
      </w:pPr>
      <w:r>
        <w:t>3.1 Product Principles</w:t>
      </w:r>
    </w:p>
    <w:p>
      <w:pPr>
        <w:spacing w:after="120"/>
      </w:pPr>
      <w:r>
        <w:rPr>
          <w:rFonts w:ascii="Calibri" w:hAnsi="Calibri"/>
          <w:b/>
          <w:i w:val="0"/>
          <w:color w:val="1F4D78"/>
          <w:sz w:val="22"/>
        </w:rPr>
        <w:t xml:space="preserve">Attachment capacity: </w:t>
      </w:r>
      <w:r>
        <w:rPr>
          <w:rFonts w:ascii="Calibri" w:hAnsi="Calibri"/>
          <w:b w:val="0"/>
          <w:i w:val="0"/>
          <w:color w:val="1E293B"/>
          <w:sz w:val="22"/>
        </w:rPr>
        <w:t>Unlimited until device storage is exhausted, with graceful low-storage and insufficient-storage handling.</w:t>
      </w:r>
    </w:p>
    <w:p>
      <w:pPr>
        <w:spacing w:after="120"/>
      </w:pPr>
      <w:r>
        <w:rPr>
          <w:rFonts w:ascii="Calibri" w:hAnsi="Calibri"/>
          <w:b/>
          <w:i w:val="0"/>
          <w:color w:val="1F4D78"/>
          <w:sz w:val="22"/>
        </w:rPr>
        <w:t xml:space="preserve">Recoverability: </w:t>
      </w:r>
      <w:r>
        <w:rPr>
          <w:rFonts w:ascii="Calibri" w:hAnsi="Calibri"/>
          <w:b w:val="0"/>
          <w:i w:val="0"/>
          <w:color w:val="1E293B"/>
          <w:sz w:val="22"/>
        </w:rPr>
        <w:t>Recoverable only when valid encrypted backups and all required keys exist and are valid.</w:t>
      </w:r>
    </w:p>
    <w:p>
      <w:pPr>
        <w:pStyle w:val="Heading2"/>
      </w:pPr>
      <w:r>
        <w:t>3.2 Core Module Hierarchy</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Core parent module</w:t>
            </w:r>
          </w:p>
        </w:tc>
        <w:tc>
          <w:tcPr>
            <w:tcW w:type="dxa" w:w="6660"/>
            <w:vAlign w:val="center"/>
          </w:tcPr>
          <w:p>
            <w:pPr>
              <w:spacing w:after="40"/>
            </w:pPr>
            <w:r>
              <w:rPr>
                <w:rFonts w:ascii="Calibri" w:hAnsi="Calibri"/>
                <w:b w:val="0"/>
                <w:i w:val="0"/>
                <w:color w:val="1E293B"/>
                <w:sz w:val="20"/>
              </w:rPr>
              <w:t>Knowledge Vault</w:t>
            </w:r>
          </w:p>
        </w:tc>
      </w:tr>
      <w:tr>
        <w:trPr>
          <w:cantSplit/>
        </w:trPr>
        <w:tc>
          <w:tcPr>
            <w:tcW w:type="dxa" w:w="2700"/>
            <w:vAlign w:val="center"/>
            <w:shd w:fill="E8EEF5"/>
          </w:tcPr>
          <w:p>
            <w:pPr>
              <w:spacing w:after="40"/>
            </w:pPr>
            <w:r>
              <w:rPr>
                <w:rFonts w:ascii="Calibri" w:hAnsi="Calibri"/>
                <w:b/>
                <w:i w:val="0"/>
                <w:color w:val="1F4D78"/>
                <w:sz w:val="20"/>
              </w:rPr>
              <w:t>Knowledge Vault submodules</w:t>
            </w:r>
          </w:p>
        </w:tc>
        <w:tc>
          <w:tcPr>
            <w:tcW w:type="dxa" w:w="6660"/>
            <w:vAlign w:val="center"/>
          </w:tcPr>
          <w:p>
            <w:pPr>
              <w:spacing w:after="40"/>
            </w:pPr>
            <w:r>
              <w:rPr>
                <w:rFonts w:ascii="Calibri" w:hAnsi="Calibri"/>
                <w:b w:val="0"/>
                <w:i w:val="0"/>
                <w:color w:val="1E293B"/>
                <w:sz w:val="20"/>
              </w:rPr>
              <w:t>Notes; Journal; Wiki; Documents</w:t>
            </w:r>
          </w:p>
        </w:tc>
      </w:tr>
      <w:tr>
        <w:trPr>
          <w:cantSplit/>
        </w:trPr>
        <w:tc>
          <w:tcPr>
            <w:tcW w:type="dxa" w:w="2700"/>
            <w:vAlign w:val="center"/>
            <w:shd w:fill="E8EEF5"/>
          </w:tcPr>
          <w:p>
            <w:pPr>
              <w:spacing w:after="40"/>
            </w:pPr>
            <w:r>
              <w:rPr>
                <w:rFonts w:ascii="Calibri" w:hAnsi="Calibri"/>
                <w:b/>
                <w:i w:val="0"/>
                <w:color w:val="1F4D78"/>
                <w:sz w:val="20"/>
              </w:rPr>
              <w:t>Relationship rule</w:t>
            </w:r>
          </w:p>
        </w:tc>
        <w:tc>
          <w:tcPr>
            <w:tcW w:type="dxa" w:w="6660"/>
            <w:vAlign w:val="center"/>
          </w:tcPr>
          <w:p>
            <w:pPr>
              <w:spacing w:after="40"/>
            </w:pPr>
            <w:r>
              <w:rPr>
                <w:rFonts w:ascii="Calibri" w:hAnsi="Calibri"/>
                <w:b w:val="0"/>
                <w:i w:val="0"/>
                <w:color w:val="1E293B"/>
                <w:sz w:val="20"/>
              </w:rPr>
              <w:t>The submodules are not independent core domains.</w:t>
            </w:r>
          </w:p>
        </w:tc>
      </w:tr>
      <w:tr>
        <w:trPr>
          <w:cantSplit/>
        </w:trPr>
        <w:tc>
          <w:tcPr>
            <w:tcW w:type="dxa" w:w="2700"/>
            <w:vAlign w:val="center"/>
            <w:shd w:fill="E8EEF5"/>
          </w:tcPr>
          <w:p>
            <w:pPr>
              <w:spacing w:after="40"/>
            </w:pPr>
            <w:r>
              <w:rPr>
                <w:rFonts w:ascii="Calibri" w:hAnsi="Calibri"/>
                <w:b/>
                <w:i w:val="0"/>
                <w:color w:val="1F4D78"/>
                <w:sz w:val="20"/>
              </w:rPr>
              <w:t>Shared capability</w:t>
            </w:r>
          </w:p>
        </w:tc>
        <w:tc>
          <w:tcPr>
            <w:tcW w:type="dxa" w:w="6660"/>
            <w:vAlign w:val="center"/>
          </w:tcPr>
          <w:p>
            <w:pPr>
              <w:spacing w:after="40"/>
            </w:pPr>
            <w:r>
              <w:rPr>
                <w:rFonts w:ascii="Calibri" w:hAnsi="Calibri"/>
                <w:b w:val="0"/>
                <w:i w:val="0"/>
                <w:color w:val="1E293B"/>
                <w:sz w:val="20"/>
              </w:rPr>
              <w:t>Attachments may be associated with authorized entities and Knowledge Vault content.</w:t>
            </w:r>
          </w:p>
        </w:tc>
      </w:tr>
    </w:tbl>
    <w:p>
      <w:pPr>
        <w:pStyle w:val="Heading2"/>
      </w:pPr>
      <w:r>
        <w:t>3.3 Dashboard</w:t>
      </w:r>
    </w:p>
    <w:p>
      <w:pPr>
        <w:spacing w:after="120"/>
      </w:pPr>
      <w:r>
        <w:rPr>
          <w:rFonts w:ascii="Calibri" w:hAnsi="Calibri"/>
          <w:b/>
          <w:i w:val="0"/>
          <w:color w:val="1F4D78"/>
          <w:sz w:val="22"/>
        </w:rPr>
        <w:t xml:space="preserve">DASH-003 ? Dashboard Customization: </w:t>
      </w:r>
      <w:r>
        <w:rPr>
          <w:rFonts w:ascii="Calibri" w:hAnsi="Calibri"/>
          <w:b w:val="0"/>
          <w:i w:val="0"/>
          <w:color w:val="1E293B"/>
          <w:sz w:val="22"/>
        </w:rPr>
        <w:t>Users shall be able to show, hide, reorder, and resize dashboard widgets. The configuration shall persist locally and provide reset-to-default behavior.</w:t>
      </w:r>
    </w:p>
    <w:p>
      <w:pPr>
        <w:pStyle w:val="Heading2"/>
      </w:pPr>
      <w:r>
        <w:t>3.4 Future Modules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Explicitly future</w:t>
            </w:r>
          </w:p>
        </w:tc>
        <w:tc>
          <w:tcPr>
            <w:tcW w:type="dxa" w:w="6660"/>
            <w:vAlign w:val="center"/>
          </w:tcPr>
          <w:p>
            <w:pPr>
              <w:spacing w:after="40"/>
            </w:pPr>
            <w:r>
              <w:rPr>
                <w:rFonts w:ascii="Calibri" w:hAnsi="Calibri"/>
                <w:b w:val="0"/>
                <w:i w:val="0"/>
                <w:color w:val="1E293B"/>
                <w:sz w:val="20"/>
              </w:rPr>
              <w:t>Password Vault; Expense Manager; Health Tracker</w:t>
            </w:r>
          </w:p>
        </w:tc>
      </w:tr>
      <w:tr>
        <w:trPr>
          <w:cantSplit/>
        </w:trPr>
        <w:tc>
          <w:tcPr>
            <w:tcW w:type="dxa" w:w="2700"/>
            <w:vAlign w:val="center"/>
            <w:shd w:fill="E8EEF5"/>
          </w:tcPr>
          <w:p>
            <w:pPr>
              <w:spacing w:after="40"/>
            </w:pPr>
            <w:r>
              <w:rPr>
                <w:rFonts w:ascii="Calibri" w:hAnsi="Calibri"/>
                <w:b/>
                <w:i w:val="0"/>
                <w:color w:val="1F4D78"/>
                <w:sz w:val="20"/>
              </w:rPr>
              <w:t>Version 1 status</w:t>
            </w:r>
          </w:p>
        </w:tc>
        <w:tc>
          <w:tcPr>
            <w:tcW w:type="dxa" w:w="6660"/>
            <w:vAlign w:val="center"/>
          </w:tcPr>
          <w:p>
            <w:pPr>
              <w:spacing w:after="40"/>
            </w:pPr>
            <w:r>
              <w:rPr>
                <w:rFonts w:ascii="Calibri" w:hAnsi="Calibri"/>
                <w:b w:val="0"/>
                <w:i w:val="0"/>
                <w:color w:val="1E293B"/>
                <w:sz w:val="20"/>
              </w:rPr>
              <w:t>Excluded</w:t>
            </w:r>
          </w:p>
        </w:tc>
      </w:tr>
      <w:tr>
        <w:trPr>
          <w:cantSplit/>
        </w:trPr>
        <w:tc>
          <w:tcPr>
            <w:tcW w:type="dxa" w:w="2700"/>
            <w:vAlign w:val="center"/>
            <w:shd w:fill="E8EEF5"/>
          </w:tcPr>
          <w:p>
            <w:pPr>
              <w:spacing w:after="40"/>
            </w:pPr>
            <w:r>
              <w:rPr>
                <w:rFonts w:ascii="Calibri" w:hAnsi="Calibri"/>
                <w:b/>
                <w:i w:val="0"/>
                <w:color w:val="1F4D78"/>
                <w:sz w:val="20"/>
              </w:rPr>
              <w:t>Version 1 dependency rule</w:t>
            </w:r>
          </w:p>
        </w:tc>
        <w:tc>
          <w:tcPr>
            <w:tcW w:type="dxa" w:w="6660"/>
            <w:vAlign w:val="center"/>
          </w:tcPr>
          <w:p>
            <w:pPr>
              <w:spacing w:after="40"/>
            </w:pPr>
            <w:r>
              <w:rPr>
                <w:rFonts w:ascii="Calibri" w:hAnsi="Calibri"/>
                <w:b w:val="0"/>
                <w:i w:val="0"/>
                <w:color w:val="1E293B"/>
                <w:sz w:val="20"/>
              </w:rPr>
              <w:t>No version 1 feature or release criterion may require these modules.</w:t>
            </w:r>
          </w:p>
        </w:tc>
      </w:tr>
    </w:tbl>
    <w:p>
      <w:pPr>
        <w:pStyle w:val="Heading1"/>
      </w:pPr>
      <w:r>
        <w:t>4. Traceability to Approved Clarification Areas</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PRD-001 / PRD-002</w:t>
            </w:r>
          </w:p>
        </w:tc>
        <w:tc>
          <w:tcPr>
            <w:tcW w:type="dxa" w:w="6660"/>
            <w:vAlign w:val="center"/>
          </w:tcPr>
          <w:p>
            <w:pPr>
              <w:spacing w:after="40"/>
            </w:pPr>
            <w:r>
              <w:rPr>
                <w:rFonts w:ascii="Calibri" w:hAnsi="Calibri"/>
                <w:b w:val="0"/>
                <w:i w:val="0"/>
                <w:color w:val="1E293B"/>
                <w:sz w:val="20"/>
              </w:rPr>
              <w:t>Partially resolved: Version 1 excludes Password Vault, Expense Manager, and Health Tracker.</w:t>
            </w:r>
          </w:p>
        </w:tc>
      </w:tr>
      <w:tr>
        <w:trPr>
          <w:cantSplit/>
        </w:trPr>
        <w:tc>
          <w:tcPr>
            <w:tcW w:type="dxa" w:w="2700"/>
            <w:vAlign w:val="center"/>
            <w:shd w:fill="E8EEF5"/>
          </w:tcPr>
          <w:p>
            <w:pPr>
              <w:spacing w:after="40"/>
            </w:pPr>
            <w:r>
              <w:rPr>
                <w:rFonts w:ascii="Calibri" w:hAnsi="Calibri"/>
                <w:b/>
                <w:i w:val="0"/>
                <w:color w:val="1F4D78"/>
                <w:sz w:val="20"/>
              </w:rPr>
              <w:t>UXF-002 / UIA-001</w:t>
            </w:r>
          </w:p>
        </w:tc>
        <w:tc>
          <w:tcPr>
            <w:tcW w:type="dxa" w:w="6660"/>
            <w:vAlign w:val="center"/>
          </w:tcPr>
          <w:p>
            <w:pPr>
              <w:spacing w:after="40"/>
            </w:pPr>
            <w:r>
              <w:rPr>
                <w:rFonts w:ascii="Calibri" w:hAnsi="Calibri"/>
                <w:b w:val="0"/>
                <w:i w:val="0"/>
                <w:color w:val="1E293B"/>
                <w:sz w:val="20"/>
              </w:rPr>
              <w:t>Partially resolved: Knowledge Vault owns Notes, Journal, Wiki, and Documents.</w:t>
            </w:r>
          </w:p>
        </w:tc>
      </w:tr>
      <w:tr>
        <w:trPr>
          <w:cantSplit/>
        </w:trPr>
        <w:tc>
          <w:tcPr>
            <w:tcW w:type="dxa" w:w="2700"/>
            <w:vAlign w:val="center"/>
            <w:shd w:fill="E8EEF5"/>
          </w:tcPr>
          <w:p>
            <w:pPr>
              <w:spacing w:after="40"/>
            </w:pPr>
            <w:r>
              <w:rPr>
                <w:rFonts w:ascii="Calibri" w:hAnsi="Calibri"/>
                <w:b/>
                <w:i w:val="0"/>
                <w:color w:val="1F4D78"/>
                <w:sz w:val="20"/>
              </w:rPr>
              <w:t>UIA-001 / UIA-007</w:t>
            </w:r>
          </w:p>
        </w:tc>
        <w:tc>
          <w:tcPr>
            <w:tcW w:type="dxa" w:w="6660"/>
            <w:vAlign w:val="center"/>
          </w:tcPr>
          <w:p>
            <w:pPr>
              <w:spacing w:after="40"/>
            </w:pPr>
            <w:r>
              <w:rPr>
                <w:rFonts w:ascii="Calibri" w:hAnsi="Calibri"/>
                <w:b w:val="0"/>
                <w:i w:val="0"/>
                <w:color w:val="1E293B"/>
                <w:sz w:val="20"/>
              </w:rPr>
              <w:t>Partially resolved: dashboard customization includes show, hide, reorder, resize, persistence, reset, and adaptive constraints.</w:t>
            </w:r>
          </w:p>
        </w:tc>
      </w:tr>
      <w:tr>
        <w:trPr>
          <w:cantSplit/>
        </w:trPr>
        <w:tc>
          <w:tcPr>
            <w:tcW w:type="dxa" w:w="2700"/>
            <w:vAlign w:val="center"/>
            <w:shd w:fill="E8EEF5"/>
          </w:tcPr>
          <w:p>
            <w:pPr>
              <w:spacing w:after="40"/>
            </w:pPr>
            <w:r>
              <w:rPr>
                <w:rFonts w:ascii="Calibri" w:hAnsi="Calibri"/>
                <w:b/>
                <w:i w:val="0"/>
                <w:color w:val="1F4D78"/>
                <w:sz w:val="20"/>
              </w:rPr>
              <w:t>DAT-001 / DAT-003 / DAT-005</w:t>
            </w:r>
          </w:p>
        </w:tc>
        <w:tc>
          <w:tcPr>
            <w:tcW w:type="dxa" w:w="6660"/>
            <w:vAlign w:val="center"/>
          </w:tcPr>
          <w:p>
            <w:pPr>
              <w:spacing w:after="40"/>
            </w:pPr>
            <w:r>
              <w:rPr>
                <w:rFonts w:ascii="Calibri" w:hAnsi="Calibri"/>
                <w:b w:val="0"/>
                <w:i w:val="0"/>
                <w:color w:val="1E293B"/>
                <w:sz w:val="20"/>
              </w:rPr>
              <w:t>Partially resolved: recovery requires valid encrypted backups and keys; storage capacity governs attachments.</w:t>
            </w:r>
          </w:p>
        </w:tc>
      </w:tr>
      <w:tr>
        <w:trPr>
          <w:cantSplit/>
        </w:trPr>
        <w:tc>
          <w:tcPr>
            <w:tcW w:type="dxa" w:w="2700"/>
            <w:vAlign w:val="center"/>
            <w:shd w:fill="E8EEF5"/>
          </w:tcPr>
          <w:p>
            <w:pPr>
              <w:spacing w:after="40"/>
            </w:pPr>
            <w:r>
              <w:rPr>
                <w:rFonts w:ascii="Calibri" w:hAnsi="Calibri"/>
                <w:b/>
                <w:i w:val="0"/>
                <w:color w:val="1F4D78"/>
                <w:sz w:val="20"/>
              </w:rPr>
              <w:t>DBR-002 / DBR-008</w:t>
            </w:r>
          </w:p>
        </w:tc>
        <w:tc>
          <w:tcPr>
            <w:tcW w:type="dxa" w:w="6660"/>
            <w:vAlign w:val="center"/>
          </w:tcPr>
          <w:p>
            <w:pPr>
              <w:spacing w:after="40"/>
            </w:pPr>
            <w:r>
              <w:rPr>
                <w:rFonts w:ascii="Calibri" w:hAnsi="Calibri"/>
                <w:b w:val="0"/>
                <w:i w:val="0"/>
                <w:color w:val="1E293B"/>
                <w:sz w:val="20"/>
              </w:rPr>
              <w:t>Review input: the existing database design must support the approved hierarchy, dashboard preferences, attachment scale, and storage-failure invariants.</w:t>
            </w:r>
          </w:p>
        </w:tc>
      </w:tr>
    </w:tbl>
    <w:p>
      <w:pPr>
        <w:pStyle w:val="Heading1"/>
      </w:pPr>
      <w:r>
        <w:t>5. Requirements That Remain Open</w:t>
      </w:r>
    </w:p>
    <w:p>
      <w:r>
        <w:t>Approval of this document does not resolve other accepted Part 2 review findings. The following remain open and continue to block a complete implementation baseline:</w:t>
      </w:r>
    </w:p>
    <w:p>
      <w:pPr>
        <w:pStyle w:val="ListBullet"/>
      </w:pPr>
      <w:r>
        <w:t>Global feature-ID collision involving SEC-001 through SEC-006.</w:t>
      </w:r>
    </w:p>
    <w:p>
      <w:pPr>
        <w:pStyle w:val="ListBullet"/>
      </w:pPr>
      <w:r>
        <w:t>Exact version 1 module boundary beyond the three explicitly excluded future modules.</w:t>
      </w:r>
    </w:p>
    <w:p>
      <w:pPr>
        <w:pStyle w:val="ListBullet"/>
      </w:pPr>
      <w:r>
        <w:t>Task, calendar, reminder, search, statistics, security, backup, plugin, and attachment semantic details not resolved by this amendment.</w:t>
      </w:r>
    </w:p>
    <w:p>
      <w:pPr>
        <w:pStyle w:val="ListBullet"/>
      </w:pPr>
      <w:r>
        <w:t>Measurable acceptance criteria, performance budgets, test evidence, and permission-denied behavior.</w:t>
      </w:r>
    </w:p>
    <w:p>
      <w:pPr>
        <w:pStyle w:val="ListBullet"/>
      </w:pPr>
      <w:r>
        <w:t>Authoritative existing database design and its requirements-conformance review.</w:t>
      </w:r>
    </w:p>
    <w:p>
      <w:pPr>
        <w:pStyle w:val="Heading1"/>
      </w:pPr>
      <w:r>
        <w:t>6. Approval Gate</w:t>
      </w:r>
    </w:p>
    <w:tbl>
      <w:tblPr>
        <w:tblStyle w:val="TableGrid"/>
        <w:tblW w:type="dxa" w:w="9360"/>
        <w:tblLayout w:type="fixed"/>
        <w:tblLook w:firstColumn="1" w:firstRow="1" w:lastColumn="0" w:lastRow="0" w:noHBand="0" w:noVBand="1" w:val="04A0"/>
        <w:tblInd w:w="120" w:type="dxa"/>
      </w:tblPr>
      <w:tblGrid>
        <w:gridCol w:w="2700"/>
        <w:gridCol w:w="6660"/>
      </w:tblGrid>
      <w:tr>
        <w:trPr>
          <w:cantSplit/>
        </w:trPr>
        <w:tc>
          <w:tcPr>
            <w:tcW w:type="dxa" w:w="2700"/>
            <w:vAlign w:val="center"/>
            <w:shd w:fill="E8EEF5"/>
          </w:tcPr>
          <w:p>
            <w:pPr>
              <w:spacing w:after="40"/>
            </w:pPr>
            <w:r>
              <w:rPr>
                <w:rFonts w:ascii="Calibri" w:hAnsi="Calibri"/>
                <w:b/>
                <w:i w:val="0"/>
                <w:color w:val="1F4D78"/>
                <w:sz w:val="20"/>
              </w:rPr>
              <w:t>Architecture</w:t>
            </w:r>
          </w:p>
        </w:tc>
        <w:tc>
          <w:tcPr>
            <w:tcW w:type="dxa" w:w="6660"/>
            <w:vAlign w:val="center"/>
          </w:tcPr>
          <w:p>
            <w:pPr>
              <w:spacing w:after="40"/>
            </w:pPr>
            <w:r>
              <w:rPr>
                <w:rFonts w:ascii="Calibri" w:hAnsi="Calibri"/>
                <w:b w:val="0"/>
                <w:i w:val="0"/>
                <w:color w:val="1E293B"/>
                <w:sz w:val="20"/>
              </w:rPr>
              <w:t>Unchanged</w:t>
            </w:r>
          </w:p>
        </w:tc>
      </w:tr>
      <w:tr>
        <w:trPr>
          <w:cantSplit/>
        </w:trPr>
        <w:tc>
          <w:tcPr>
            <w:tcW w:type="dxa" w:w="2700"/>
            <w:vAlign w:val="center"/>
            <w:shd w:fill="E8EEF5"/>
          </w:tcPr>
          <w:p>
            <w:pPr>
              <w:spacing w:after="40"/>
            </w:pPr>
            <w:r>
              <w:rPr>
                <w:rFonts w:ascii="Calibri" w:hAnsi="Calibri"/>
                <w:b/>
                <w:i w:val="0"/>
                <w:color w:val="1F4D78"/>
                <w:sz w:val="20"/>
              </w:rPr>
              <w:t>Code</w:t>
            </w:r>
          </w:p>
        </w:tc>
        <w:tc>
          <w:tcPr>
            <w:tcW w:type="dxa" w:w="6660"/>
            <w:vAlign w:val="center"/>
          </w:tcPr>
          <w:p>
            <w:pPr>
              <w:spacing w:after="40"/>
            </w:pPr>
            <w:r>
              <w:rPr>
                <w:rFonts w:ascii="Calibri" w:hAnsi="Calibri"/>
                <w:b w:val="0"/>
                <w:i w:val="0"/>
                <w:color w:val="1E293B"/>
                <w:sz w:val="20"/>
              </w:rPr>
              <w:t>None generated</w:t>
            </w:r>
          </w:p>
        </w:tc>
      </w:tr>
      <w:tr>
        <w:trPr>
          <w:cantSplit/>
        </w:trPr>
        <w:tc>
          <w:tcPr>
            <w:tcW w:type="dxa" w:w="2700"/>
            <w:vAlign w:val="center"/>
            <w:shd w:fill="E8EEF5"/>
          </w:tcPr>
          <w:p>
            <w:pPr>
              <w:spacing w:after="40"/>
            </w:pPr>
            <w:r>
              <w:rPr>
                <w:rFonts w:ascii="Calibri" w:hAnsi="Calibri"/>
                <w:b/>
                <w:i w:val="0"/>
                <w:color w:val="1F4D78"/>
                <w:sz w:val="20"/>
              </w:rPr>
              <w:t>Approved decisions applied</w:t>
            </w:r>
          </w:p>
        </w:tc>
        <w:tc>
          <w:tcPr>
            <w:tcW w:type="dxa" w:w="6660"/>
            <w:vAlign w:val="center"/>
          </w:tcPr>
          <w:p>
            <w:pPr>
              <w:spacing w:after="40"/>
            </w:pPr>
            <w:r>
              <w:rPr>
                <w:rFonts w:ascii="Calibri" w:hAnsi="Calibri"/>
                <w:b w:val="0"/>
                <w:i w:val="0"/>
                <w:color w:val="1E293B"/>
                <w:sz w:val="20"/>
              </w:rPr>
              <w:t>Five</w:t>
            </w:r>
          </w:p>
        </w:tc>
      </w:tr>
      <w:tr>
        <w:trPr>
          <w:cantSplit/>
        </w:trPr>
        <w:tc>
          <w:tcPr>
            <w:tcW w:type="dxa" w:w="2700"/>
            <w:vAlign w:val="center"/>
            <w:shd w:fill="E8EEF5"/>
          </w:tcPr>
          <w:p>
            <w:pPr>
              <w:spacing w:after="40"/>
            </w:pPr>
            <w:r>
              <w:rPr>
                <w:rFonts w:ascii="Calibri" w:hAnsi="Calibri"/>
                <w:b/>
                <w:i w:val="0"/>
                <w:color w:val="1F4D78"/>
                <w:sz w:val="20"/>
              </w:rPr>
              <w:t>Unrelated decisions</w:t>
            </w:r>
          </w:p>
        </w:tc>
        <w:tc>
          <w:tcPr>
            <w:tcW w:type="dxa" w:w="6660"/>
            <w:vAlign w:val="center"/>
          </w:tcPr>
          <w:p>
            <w:pPr>
              <w:spacing w:after="40"/>
            </w:pPr>
            <w:r>
              <w:rPr>
                <w:rFonts w:ascii="Calibri" w:hAnsi="Calibri"/>
                <w:b w:val="0"/>
                <w:i w:val="0"/>
                <w:color w:val="1E293B"/>
                <w:sz w:val="20"/>
              </w:rPr>
              <w:t>Remain open</w:t>
            </w:r>
          </w:p>
        </w:tc>
      </w:tr>
      <w:tr>
        <w:trPr>
          <w:cantSplit/>
        </w:trPr>
        <w:tc>
          <w:tcPr>
            <w:tcW w:type="dxa" w:w="2700"/>
            <w:vAlign w:val="center"/>
            <w:shd w:fill="E8EEF5"/>
          </w:tcPr>
          <w:p>
            <w:pPr>
              <w:spacing w:after="40"/>
            </w:pPr>
            <w:r>
              <w:rPr>
                <w:rFonts w:ascii="Calibri" w:hAnsi="Calibri"/>
                <w:b/>
                <w:i w:val="0"/>
                <w:color w:val="1F4D78"/>
                <w:sz w:val="20"/>
              </w:rPr>
              <w:t>Implementation authorization</w:t>
            </w:r>
          </w:p>
        </w:tc>
        <w:tc>
          <w:tcPr>
            <w:tcW w:type="dxa" w:w="6660"/>
            <w:vAlign w:val="center"/>
          </w:tcPr>
          <w:p>
            <w:pPr>
              <w:spacing w:after="40"/>
            </w:pPr>
            <w:r>
              <w:rPr>
                <w:rFonts w:ascii="Calibri" w:hAnsi="Calibri"/>
                <w:b w:val="0"/>
                <w:i w:val="0"/>
                <w:color w:val="1E293B"/>
                <w:sz w:val="20"/>
              </w:rPr>
              <w:t>Not granted</w:t>
            </w:r>
          </w:p>
        </w:tc>
      </w:tr>
      <w:tr>
        <w:trPr>
          <w:cantSplit/>
        </w:trPr>
        <w:tc>
          <w:tcPr>
            <w:tcW w:type="dxa" w:w="2700"/>
            <w:vAlign w:val="center"/>
            <w:shd w:fill="E8EEF5"/>
          </w:tcPr>
          <w:p>
            <w:pPr>
              <w:spacing w:after="40"/>
            </w:pPr>
            <w:r>
              <w:rPr>
                <w:rFonts w:ascii="Calibri" w:hAnsi="Calibri"/>
                <w:b/>
                <w:i w:val="0"/>
                <w:color w:val="1F4D78"/>
                <w:sz w:val="20"/>
              </w:rPr>
              <w:t>Next action</w:t>
            </w:r>
          </w:p>
        </w:tc>
        <w:tc>
          <w:tcPr>
            <w:tcW w:type="dxa" w:w="6660"/>
            <w:vAlign w:val="center"/>
          </w:tcPr>
          <w:p>
            <w:pPr>
              <w:spacing w:after="40"/>
            </w:pPr>
            <w:r>
              <w:rPr>
                <w:rFonts w:ascii="Calibri" w:hAnsi="Calibri"/>
                <w:b w:val="0"/>
                <w:i w:val="0"/>
                <w:color w:val="1E293B"/>
                <w:sz w:val="20"/>
              </w:rPr>
              <w:t>Review and approve Part 2A before any further requirements artifact is created.</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i w:val="0"/>
        <w:color w:val="5F6B7A"/>
        <w:sz w:val="17"/>
      </w:rPr>
      <w:t>ANAS LIFE OS  |  PART 2A REQUIREMENTS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2A – Requirements Revision</dc:title>
  <dc:subject>Approved revisions to Part 2 requirements</dc:subject>
  <dc:creator>Anas Life OS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