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3F51B5"/>
        </w:rPr>
        <w:t>ANAS LIFE OS</w:t>
      </w:r>
    </w:p>
    <w:p>
      <w:pPr>
        <w:pStyle w:val="Title"/>
      </w:pPr>
      <w:r>
        <w:t>Project Bible Final Master Validation Report</w:t>
      </w:r>
    </w:p>
    <w:p>
      <w:pPr>
        <w:pStyle w:val="Subtitle"/>
      </w:pPr>
      <w:r>
        <w:t>Final consolidated planning audit before Sprint 1 implementation | 29 July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Control</w:t>
            </w:r>
          </w:p>
        </w:tc>
        <w:tc>
          <w:tcPr>
            <w:tcW w:type="dxa" w:w="666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Result</w:t>
            </w:r>
          </w:p>
        </w:tc>
      </w:tr>
      <w:tr>
        <w:tc>
          <w:tcPr>
            <w:tcW w:type="dxa" w:w="2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Authoritative set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Part 1, Part 1A, Part 1B, and Parts 2-11 Masters</w:t>
            </w:r>
          </w:p>
        </w:tc>
      </w:tr>
      <w:tr>
        <w:tc>
          <w:tcPr>
            <w:tcW w:type="dxa" w:w="2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Artifact availability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13 of 13 authoritative artifacts present</w:t>
            </w:r>
          </w:p>
        </w:tc>
      </w:tr>
      <w:tr>
        <w:tc>
          <w:tcPr>
            <w:tcW w:type="dxa" w:w="2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Superseded document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Part 2A excluded from authority</w:t>
            </w:r>
          </w:p>
        </w:tc>
      </w:tr>
      <w:tr>
        <w:tc>
          <w:tcPr>
            <w:tcW w:type="dxa" w:w="2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Validation status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FINAL PASS</w:t>
            </w:r>
          </w:p>
        </w:tc>
      </w:tr>
      <w:tr>
        <w:tc>
          <w:tcPr>
            <w:tcW w:type="dxa" w:w="2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None generated</w:t>
            </w:r>
          </w:p>
        </w:tc>
      </w:tr>
    </w:tbl>
    <w:p>
      <w:pPr>
        <w:pStyle w:val="Heading1"/>
      </w:pPr>
      <w:r>
        <w:t>Validation basis</w:t>
      </w:r>
    </w:p>
    <w:p>
      <w:r>
        <w:t>This report validates all approved Masters together. It incorporates the five final approvals without redesigning architecture or changing approved requirement meaning. Part 1 and Part 3 were created only by consolidation. Document-qualified identifiers remain the global traceability key.</w:t>
      </w:r>
    </w:p>
    <w:p>
      <w:pPr>
        <w:pStyle w:val="Heading1"/>
      </w:pPr>
      <w:r>
        <w:t>Approved blocker resolutions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6660"/>
        <w:gridCol w:w="1200"/>
      </w:tblGrid>
      <w:tr>
        <w:trPr>
          <w:tblHeader w:val="true"/>
        </w:trPr>
        <w:tc>
          <w:tcPr>
            <w:tcW w:type="dxa" w:w="150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Decision</w:t>
            </w:r>
          </w:p>
        </w:tc>
        <w:tc>
          <w:tcPr>
            <w:tcW w:type="dxa" w:w="666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Applied resolution</w:t>
            </w:r>
          </w:p>
        </w:tc>
        <w:tc>
          <w:tcPr>
            <w:tcW w:type="dxa" w:w="120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1. Missing Masters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Part 1 Master and Part 3 Master created solely from approved content; Part 1B remains the approved clarification template and unresolved owning-sprint decisions stay controlled.</w:t>
            </w:r>
          </w:p>
        </w:tc>
        <w:tc>
          <w:tcPr>
            <w:tcW w:type="dxa" w:w="12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2. Android identity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Application ID com.anaslifeos.app; development debug signing; production signing key under user-only custody.</w:t>
            </w:r>
          </w:p>
        </w:tc>
        <w:tc>
          <w:tcPr>
            <w:tcW w:type="dxa" w:w="12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3. Column profiles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Full lifecycle profile for business/entity tables; purpose-appropriate profiles for join, audit, FTS, cache, history, and schema tables.</w:t>
            </w:r>
          </w:p>
        </w:tc>
        <w:tc>
          <w:tcPr>
            <w:tcW w:type="dxa" w:w="12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4. Cryptography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SQLCipher-compatible SQLite, AES-256-GCM, Keystore-wrapped master key, Argon2id backup keys, no failed-PIN wipe in Version 1, modular replaceable providers.</w:t>
            </w:r>
          </w:p>
        </w:tc>
        <w:tc>
          <w:tcPr>
            <w:tcW w:type="dxa" w:w="12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1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5. Theme</w:t>
            </w:r>
          </w:p>
        </w:tc>
        <w:tc>
          <w:tcPr>
            <w:tcW w:type="dxa" w:w="66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Default seed #3F51B5 only; Dynamic Color and complete user theme customization retained.</w:t>
            </w:r>
          </w:p>
        </w:tc>
        <w:tc>
          <w:tcPr>
            <w:tcW w:type="dxa" w:w="12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</w:tbl>
    <w:p>
      <w:pPr>
        <w:pStyle w:val="Heading1"/>
      </w:pPr>
      <w:r>
        <w:t>1. Overall consistency validation</w:t>
      </w:r>
    </w:p>
    <w:p>
      <w:r>
        <w:rPr>
          <w:b/>
          <w:color w:val="1B5E20"/>
        </w:rPr>
        <w:t>Result: PASS</w:t>
      </w:r>
    </w:p>
    <w:p>
      <w:r>
        <w:t>The vision, offline/privacy model, database-first sequence, Clean Architecture, Knowledge Vault hierarchy, Version 1/Future Release boundaries, quality gates, and twelve-sprint order are mutually consistent. No critical conflict requires redesign or requirement change.</w:t>
      </w:r>
    </w:p>
    <w:p>
      <w:pPr>
        <w:pStyle w:val="Heading1"/>
      </w:pPr>
      <w:r>
        <w:t>2. Cross-part traceability validation</w:t>
      </w:r>
    </w:p>
    <w:p>
      <w:r>
        <w:rPr>
          <w:b/>
          <w:color w:val="1B5E20"/>
        </w:rPr>
        <w:t>Result: PASS</w:t>
      </w:r>
    </w:p>
    <w:p>
      <w:r>
        <w:t>All thirteen authoritative artifacts are present. Part 1 baseline IDs, 38 Part 1A/1B clarification IDs, Part 2 functional IDs, all 60 Part 3 NFR IDs, and Parts 4-11 controlled IDs connect through document-qualified references and Part 11 sprint authority.</w:t>
      </w:r>
    </w:p>
    <w:p>
      <w:pPr>
        <w:pStyle w:val="Heading1"/>
      </w:pPr>
      <w:r>
        <w:t>3. Duplicate-ID validation</w:t>
      </w:r>
    </w:p>
    <w:p>
      <w:r>
        <w:rPr>
          <w:b/>
          <w:color w:val="1B5E20"/>
        </w:rPr>
        <w:t>Result: PASS</w:t>
      </w:r>
    </w:p>
    <w:p>
      <w:r>
        <w:t>The consolidated declaration inventory contains 783 declarations and 742 unique bare identifiers. The 38 Part 1A IDs intentionally mirror Part 1B. SEC-001 through SEC-003 also exist in Part 2; VR-001 resolves these through canonical DocumentPart.ID keys without renaming approved IDs. No contradictory duplicate declaration was found.</w:t>
      </w:r>
    </w:p>
    <w:p>
      <w:pPr>
        <w:pStyle w:val="Heading1"/>
      </w:pPr>
      <w:r>
        <w:t>4. Requirement completeness validation</w:t>
      </w:r>
    </w:p>
    <w:p>
      <w:r>
        <w:rPr>
          <w:b/>
          <w:color w:val="1B5E20"/>
        </w:rPr>
        <w:t>Result: PASS</w:t>
      </w:r>
    </w:p>
    <w:p>
      <w:r>
        <w:t>The expected 13 authoritative artifacts are available. Part 1 contains 24 controlled baseline requirements with all required metadata. Part 3 preserves 60 of 60 original NFR IDs with Priority, Complexity, Verification, Target Sprint, Traceability, and measurable acceptance. Future Release and controlled open issues remain separated.</w:t>
      </w:r>
    </w:p>
    <w:p>
      <w:pPr>
        <w:pStyle w:val="Heading1"/>
      </w:pPr>
      <w:r>
        <w:t>5. Architecture consistency validation</w:t>
      </w:r>
    </w:p>
    <w:p>
      <w:r>
        <w:rPr>
          <w:b/>
          <w:color w:val="1B5E20"/>
        </w:rPr>
        <w:t>Result: PASS</w:t>
      </w:r>
    </w:p>
    <w:p>
      <w:r>
        <w:t>Feature-first Clean Architecture, MVVM, repositories, Riverpod state/composition, limited get_it/injectable infrastructure bootstrap, GoRouter, Drift, Kotlin platform adapters, offline-first behavior, and isolated extensibility remain consistent. Presentation depends on Domain; Data implements Domain interfaces; Domain remains independent.</w:t>
      </w:r>
    </w:p>
    <w:p>
      <w:pPr>
        <w:pStyle w:val="Heading1"/>
      </w:pPr>
      <w:r>
        <w:t>6. Database consistency validation</w:t>
      </w:r>
    </w:p>
    <w:p>
      <w:r>
        <w:rPr>
          <w:b/>
          <w:color w:val="1B5E20"/>
        </w:rPr>
        <w:t>Result: PASS</w:t>
      </w:r>
    </w:p>
    <w:p>
      <w:r>
        <w:t>The database-first design, SQLCipher-compatible SQLite, Drift access, repository boundary, migrations, foreign keys, transactions, indexing, UUID/version/audit policies, soft deletion, and external file storage are consistent. The approved column profiles resolve the former universal-column conflict without modifying Part 4 intent.</w:t>
      </w:r>
    </w:p>
    <w:p>
      <w:pPr>
        <w:pStyle w:val="Heading1"/>
      </w:pPr>
      <w:r>
        <w:t>7. UI consistency validation</w:t>
      </w:r>
    </w:p>
    <w:p>
      <w:r>
        <w:rPr>
          <w:b/>
          <w:color w:val="1B5E20"/>
        </w:rPr>
        <w:t>Result: PASS</w:t>
      </w:r>
    </w:p>
    <w:p>
      <w:r>
        <w:t>Material 3, shared tokens/components, responsive phone layouts, Urdu/English, RTL/LTR, dynamic type, 48dp touch targets, dark/light/system modes, Reduce Motion, dashboard customization, and one-handed navigation are consistent. #3F51B5 is the fallback seed only; Dynamic Color and full customization remain authoritative.</w:t>
      </w:r>
    </w:p>
    <w:p>
      <w:pPr>
        <w:pStyle w:val="Heading1"/>
      </w:pPr>
      <w:r>
        <w:t>8. Security consistency validation</w:t>
      </w:r>
    </w:p>
    <w:p>
      <w:r>
        <w:rPr>
          <w:b/>
          <w:color w:val="1B5E20"/>
        </w:rPr>
        <w:t>Result: PASS</w:t>
      </w:r>
    </w:p>
    <w:p>
      <w:r>
        <w:t>On-device privacy, PIN/biometric lock, hidden items, local logging, permission minimization, encrypted backup, and no-data-egress rules align with the approved cryptographic hierarchy. Provider interfaces preserve future algorithm replacement without application-architecture redesign. Failed-PIN wipe is excluded from Version 1.</w:t>
      </w:r>
    </w:p>
    <w:p>
      <w:pPr>
        <w:pStyle w:val="Heading1"/>
      </w:pPr>
      <w:r>
        <w:t>9. Sprint consistency validation</w:t>
      </w:r>
    </w:p>
    <w:p>
      <w:r>
        <w:rPr>
          <w:b/>
          <w:color w:val="1B5E20"/>
        </w:rPr>
        <w:t>Result: PASS</w:t>
      </w:r>
    </w:p>
    <w:p>
      <w:r>
        <w:t>Part 11 remains the sole schedule authority. Sprint 1 is foundation-only and includes identity, debug signing, architecture boundaries, theme/localization, database initialization interfaces, CI preparation, documentation, and quality gates. Database encryption implementation belongs to Sprint 2; backup cryptography to Sprint 9; user security behavior to Sprint 10. No feature is moved outside its approved sprint.</w:t>
      </w:r>
    </w:p>
    <w:p>
      <w:pPr>
        <w:pStyle w:val="Heading1"/>
      </w:pPr>
      <w:r>
        <w:t>10. Remaining blockers</w:t>
      </w:r>
    </w:p>
    <w:p>
      <w:r>
        <w:rPr>
          <w:b/>
          <w:color w:val="1B5E20"/>
        </w:rPr>
        <w:t>Result: NONE</w:t>
      </w:r>
    </w:p>
    <w:p>
      <w:r>
        <w:t>No unresolved decision genuinely requires approval before Sprint 1. Open issues owned by later sprints remain controlled and cannot be implemented prematurely. Production signing material remains a user-custody release dependency, not a Sprint 1 blocker.</w:t>
      </w:r>
    </w:p>
    <w:p>
      <w:pPr>
        <w:pStyle w:val="Heading1"/>
      </w:pPr>
      <w:r>
        <w:t>11. Final implementation readiness decision</w:t>
      </w:r>
    </w:p>
    <w:p>
      <w:r>
        <w:rPr>
          <w:b/>
          <w:color w:val="1B5E20"/>
        </w:rPr>
        <w:t>Result: READY</w:t>
      </w:r>
    </w:p>
    <w:p>
      <w:r>
        <w:t>All planning blockers are resolved, all authoritative Masters are present, the architecture and database-first approach are preserved, and Sprint 1 has a complete approved governance path. Implementation must still wait for the user instruction that begins Sprint 1.</w:t>
      </w:r>
    </w:p>
    <w:p>
      <w:pPr>
        <w:spacing w:before="280" w:after="280"/>
        <w:jc w:val="center"/>
      </w:pPr>
      <w:r>
        <w:rPr>
          <w:b/>
          <w:color w:val="1B5E20"/>
          <w:sz w:val="28"/>
        </w:rPr>
        <w:t>PROJECT BIBLE APPROVED FOR SPRINT 1 IMPLEMENTATION</w:t>
      </w:r>
    </w:p>
    <w:p>
      <w:pPr>
        <w:pStyle w:val="Heading1"/>
      </w:pPr>
      <w:r>
        <w:t>Validation evidence appendix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5700"/>
        <w:gridCol w:w="15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Audit</w:t>
            </w:r>
          </w:p>
        </w:tc>
        <w:tc>
          <w:tcPr>
            <w:tcW w:type="dxa" w:w="570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Evidence</w:t>
            </w:r>
          </w:p>
        </w:tc>
        <w:tc>
          <w:tcPr>
            <w:tcW w:type="dxa" w:w="156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Result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Artifact inventory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13/13 authoritative artifacts; Part 2A excluded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Part 1 metadata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24/24 controlled requirements complete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Part 3 inventory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60/60 original NFR IDs preserved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Part 3 metadata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60/60 requirements contain five required metadata fields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Declaration continuity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699 prior declarations + 84 new unique declarations = 783; 742 unique bare IDs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Clarification mirrors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38 Part 1A/Part 1B identifiers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Bare-ID collision policy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SEC-001 to SEC-003 resolved by document qualification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Architecture/database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Approved boundaries and database-first approach preserved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Future Release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AI feature behavior, cloud, desktop, Wear OS, and feature plugins remain excluded/inert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Implementation generation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No Flutter, Kotlin, SQL, or configuration implementation generated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Structural DOCX QA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Files open; headings/tables/styles and metadata counts validated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Visual render QA</w:t>
            </w:r>
          </w:p>
        </w:tc>
        <w:tc>
          <w:tcPr>
            <w:tcW w:type="dxa" w:w="57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LibreOffice unavailable in the current runtime</w:t>
            </w:r>
          </w:p>
        </w:tc>
        <w:tc>
          <w:tcPr>
            <w:tcW w:type="dxa" w:w="15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NOT VERIFIED - tooling limitation</w:t>
            </w:r>
          </w:p>
        </w:tc>
      </w:tr>
    </w:tbl>
    <w:p>
      <w:pPr>
        <w:pStyle w:val="Heading1"/>
      </w:pPr>
      <w:r>
        <w:t>Final quality gate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5500"/>
        <w:gridCol w:w="3860"/>
      </w:tblGrid>
      <w:tr>
        <w:trPr>
          <w:tblHeader w:val="true"/>
        </w:trPr>
        <w:tc>
          <w:tcPr>
            <w:tcW w:type="dxa" w:w="550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Gate</w:t>
            </w:r>
          </w:p>
        </w:tc>
        <w:tc>
          <w:tcPr>
            <w:tcW w:type="dxa" w:w="3860"/>
            <w:shd w:fill="EEF0FA"/>
          </w:tcPr>
          <w:p>
            <w:pPr>
              <w:spacing w:after="20"/>
            </w:pPr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All approved Masters reviewed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Architecture preserved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Database-first preserved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No approved meaning changed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Five approvals applied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Critical blockers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Sprint 1 readiness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AUTHORIZED BY PROJECT BIBLE</w:t>
            </w:r>
          </w:p>
        </w:tc>
      </w:tr>
      <w:tr>
        <w:tc>
          <w:tcPr>
            <w:tcW w:type="dxa" w:w="550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Next action</w:t>
            </w:r>
          </w:p>
        </w:tc>
        <w:tc>
          <w:tcPr>
            <w:tcW w:type="dxa" w:w="3860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7"/>
              </w:rPr>
              <w:t>Await explicit user instruction to begin Sprint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Final Master Validation | 29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F6368"/>
        <w:sz w:val="16"/>
      </w:rPr>
      <w:t>ANAS LIFE OS | PROJECT BIBLE FINAL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64" w:lineRule="auto"/>
    </w:pPr>
    <w:rPr>
      <w:rFonts w:ascii="Calibri" w:hAnsi="Calibri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F51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F51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634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