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t>Daily Frontend and Backend Testing Guide</w:t>
      </w:r>
    </w:p>
    <w:p>
      <w:pPr>
        <w:pStyle w:val="BodyText"/>
        <w:spacing w:after="100" w:line="252" w:lineRule="auto"/>
      </w:pPr>
      <w:r>
        <w:t>This guide defines practical checks that can be performed every day. Manual testing confirms the user experience and unexpected behavior, while automation provides fast, repeatable coverage for stable workflows and APIs.</w:t>
      </w:r>
    </w:p>
    <w:p>
      <w:pPr>
        <w:pStyle w:val="Heading1"/>
        <w:spacing w:before="100" w:after="60"/>
      </w:pPr>
      <w:r>
        <w:t>Frontend testing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77"/>
        <w:gridCol w:w="4677"/>
      </w:tblGrid>
      <w:tr>
        <w:trPr>
          <w:tblHeader w:val="true"/>
        </w:trPr>
        <w:tc>
          <w:tcPr>
            <w:tcW w:type="dxa" w:w="4677"/>
            <w:vAlign w:val="center"/>
            <w:shd w:fill="17365D"/>
            <w:tcMar>
              <w:top w:w="75" w:type="dxa"/>
              <w:start w:w="110" w:type="dxa"/>
              <w:bottom w:w="75" w:type="dxa"/>
              <w:end w:w="110" w:type="dxa"/>
            </w:tcMar>
          </w:tcPr>
          <w:p>
            <w:pPr>
              <w:spacing w:after="0"/>
              <w:jc w:val="center"/>
            </w:pPr>
            <w:r>
              <w:rPr>
                <w:b/>
                <w:color w:val="FFFFFF"/>
                <w:sz w:val="18"/>
              </w:rPr>
              <w:t>Manual daily checks</w:t>
            </w:r>
          </w:p>
        </w:tc>
        <w:tc>
          <w:tcPr>
            <w:tcW w:type="dxa" w:w="4677"/>
            <w:vAlign w:val="center"/>
            <w:shd w:fill="17365D"/>
            <w:tcMar>
              <w:top w:w="75" w:type="dxa"/>
              <w:start w:w="110" w:type="dxa"/>
              <w:bottom w:w="75" w:type="dxa"/>
              <w:end w:w="110" w:type="dxa"/>
            </w:tcMar>
          </w:tcPr>
          <w:p>
            <w:pPr>
              <w:spacing w:after="0"/>
              <w:jc w:val="center"/>
            </w:pPr>
            <w:r>
              <w:rPr>
                <w:b/>
                <w:color w:val="FFFFFF"/>
                <w:sz w:val="18"/>
              </w:rPr>
              <w:t>Automated daily checks</w:t>
            </w:r>
          </w:p>
        </w:tc>
      </w:tr>
      <w:tr>
        <w:tc>
          <w:tcPr>
            <w:tcW w:type="dxa" w:w="5046"/>
            <w:vAlign w:val="center"/>
            <w:tcMar>
              <w:top w:w="90" w:type="dxa"/>
              <w:start w:w="110" w:type="dxa"/>
              <w:bottom w:w="90" w:type="dxa"/>
              <w:end w:w="110" w:type="dxa"/>
            </w:tcMar>
            <w:shd w:fill="FFFFFF"/>
          </w:tcPr>
          <w:p>
            <w:pPr>
              <w:pStyle w:val="BodyText"/>
              <w:spacing w:after="50" w:line="240" w:lineRule="auto"/>
              <w:ind w:left="170" w:hanging="125"/>
            </w:pPr>
            <w:r/>
            <w:r>
              <w:rPr>
                <w:sz w:val="17"/>
              </w:rPr>
              <w:t>• Verify login, navigation, forms, search, filters, uploads and core user journeys.</w:t>
            </w:r>
          </w:p>
          <w:p>
            <w:pPr>
              <w:pStyle w:val="BodyText"/>
              <w:spacing w:after="50" w:line="240" w:lineRule="auto"/>
              <w:ind w:left="170" w:hanging="125"/>
            </w:pPr>
            <w:r>
              <w:rPr>
                <w:sz w:val="17"/>
              </w:rPr>
              <w:t>• Check layout, text, buttons, error messages and responsiveness on supported screen sizes.</w:t>
            </w:r>
          </w:p>
          <w:p>
            <w:pPr>
              <w:pStyle w:val="BodyText"/>
              <w:spacing w:after="50" w:line="240" w:lineRule="auto"/>
              <w:ind w:left="170" w:hanging="125"/>
            </w:pPr>
            <w:r>
              <w:rPr>
                <w:sz w:val="17"/>
              </w:rPr>
              <w:t>• Test browser compatibility, keyboard access, focus order and basic accessibility.</w:t>
            </w:r>
          </w:p>
          <w:p>
            <w:pPr>
              <w:pStyle w:val="BodyText"/>
              <w:spacing w:after="50" w:line="240" w:lineRule="auto"/>
              <w:ind w:left="170" w:hanging="125"/>
            </w:pPr>
            <w:r>
              <w:rPr>
                <w:sz w:val="17"/>
              </w:rPr>
              <w:t>• Inspect slow loading, broken links, console errors and incorrect API data shown in the interface.</w:t>
            </w:r>
          </w:p>
        </w:tc>
        <w:tc>
          <w:tcPr>
            <w:tcW w:type="dxa" w:w="5046"/>
            <w:vAlign w:val="center"/>
            <w:tcMar>
              <w:top w:w="90" w:type="dxa"/>
              <w:start w:w="110" w:type="dxa"/>
              <w:bottom w:w="90" w:type="dxa"/>
              <w:end w:w="110" w:type="dxa"/>
            </w:tcMar>
            <w:shd w:fill="EAF2F8"/>
          </w:tcPr>
          <w:p>
            <w:pPr>
              <w:pStyle w:val="BodyText"/>
              <w:spacing w:after="50" w:line="240" w:lineRule="auto"/>
              <w:ind w:left="170" w:hanging="125"/>
            </w:pPr>
            <w:r/>
            <w:r>
              <w:rPr>
                <w:sz w:val="17"/>
              </w:rPr>
              <w:t>• Run smoke tests for critical journeys after every deployment.</w:t>
            </w:r>
          </w:p>
          <w:p>
            <w:pPr>
              <w:pStyle w:val="BodyText"/>
              <w:spacing w:after="50" w:line="240" w:lineRule="auto"/>
              <w:ind w:left="170" w:hanging="125"/>
            </w:pPr>
            <w:r>
              <w:rPr>
                <w:sz w:val="17"/>
              </w:rPr>
              <w:t>• Run UI regression tests for stable screens, validations and role-based access.</w:t>
            </w:r>
          </w:p>
          <w:p>
            <w:pPr>
              <w:pStyle w:val="BodyText"/>
              <w:spacing w:after="50" w:line="240" w:lineRule="auto"/>
              <w:ind w:left="170" w:hanging="125"/>
            </w:pPr>
            <w:r>
              <w:rPr>
                <w:sz w:val="17"/>
              </w:rPr>
              <w:t>• Execute cross-browser tests and selected visual comparison checks.</w:t>
            </w:r>
          </w:p>
          <w:p>
            <w:pPr>
              <w:pStyle w:val="BodyText"/>
              <w:spacing w:after="50" w:line="240" w:lineRule="auto"/>
              <w:ind w:left="170" w:hanging="125"/>
            </w:pPr>
            <w:r>
              <w:rPr>
                <w:sz w:val="17"/>
              </w:rPr>
              <w:t>• Track page-load timing, failed network calls, JavaScript errors and flaky tests.</w:t>
            </w:r>
          </w:p>
        </w:tc>
      </w:tr>
    </w:tbl>
    <w:p>
      <w:pPr>
        <w:pStyle w:val="Heading1"/>
        <w:spacing w:before="100" w:after="60"/>
      </w:pPr>
      <w:r>
        <w:t>Backend testing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77"/>
        <w:gridCol w:w="4677"/>
      </w:tblGrid>
      <w:tr>
        <w:trPr>
          <w:tblHeader w:val="true"/>
        </w:trPr>
        <w:tc>
          <w:tcPr>
            <w:tcW w:type="dxa" w:w="4677"/>
            <w:vAlign w:val="center"/>
            <w:shd w:fill="17365D"/>
            <w:tcMar>
              <w:top w:w="75" w:type="dxa"/>
              <w:start w:w="110" w:type="dxa"/>
              <w:bottom w:w="75" w:type="dxa"/>
              <w:end w:w="110" w:type="dxa"/>
            </w:tcMar>
          </w:tcPr>
          <w:p>
            <w:pPr>
              <w:spacing w:after="0"/>
              <w:jc w:val="center"/>
            </w:pPr>
            <w:r>
              <w:rPr>
                <w:b/>
                <w:color w:val="FFFFFF"/>
                <w:sz w:val="18"/>
              </w:rPr>
              <w:t>Manual daily checks</w:t>
            </w:r>
          </w:p>
        </w:tc>
        <w:tc>
          <w:tcPr>
            <w:tcW w:type="dxa" w:w="4677"/>
            <w:vAlign w:val="center"/>
            <w:shd w:fill="17365D"/>
            <w:tcMar>
              <w:top w:w="75" w:type="dxa"/>
              <w:start w:w="110" w:type="dxa"/>
              <w:bottom w:w="75" w:type="dxa"/>
              <w:end w:w="110" w:type="dxa"/>
            </w:tcMar>
          </w:tcPr>
          <w:p>
            <w:pPr>
              <w:spacing w:after="0"/>
              <w:jc w:val="center"/>
            </w:pPr>
            <w:r>
              <w:rPr>
                <w:b/>
                <w:color w:val="FFFFFF"/>
                <w:sz w:val="18"/>
              </w:rPr>
              <w:t>Automated daily checks</w:t>
            </w:r>
          </w:p>
        </w:tc>
      </w:tr>
      <w:tr>
        <w:tc>
          <w:tcPr>
            <w:tcW w:type="dxa" w:w="5046"/>
            <w:vAlign w:val="center"/>
            <w:tcMar>
              <w:top w:w="90" w:type="dxa"/>
              <w:start w:w="110" w:type="dxa"/>
              <w:bottom w:w="90" w:type="dxa"/>
              <w:end w:w="110" w:type="dxa"/>
            </w:tcMar>
            <w:shd w:fill="FFFFFF"/>
          </w:tcPr>
          <w:p>
            <w:pPr>
              <w:pStyle w:val="BodyText"/>
              <w:spacing w:after="50" w:line="240" w:lineRule="auto"/>
              <w:ind w:left="170" w:hanging="125"/>
            </w:pPr>
            <w:r/>
            <w:r>
              <w:rPr>
                <w:sz w:val="17"/>
              </w:rPr>
              <w:t>• Send valid, invalid, missing and boundary-value requests to important APIs.</w:t>
            </w:r>
          </w:p>
          <w:p>
            <w:pPr>
              <w:pStyle w:val="BodyText"/>
              <w:spacing w:after="50" w:line="240" w:lineRule="auto"/>
              <w:ind w:left="170" w:hanging="125"/>
            </w:pPr>
            <w:r>
              <w:rPr>
                <w:sz w:val="17"/>
              </w:rPr>
              <w:t>• Verify status codes, response fields, business rules, authentication and permissions.</w:t>
            </w:r>
          </w:p>
          <w:p>
            <w:pPr>
              <w:pStyle w:val="BodyText"/>
              <w:spacing w:after="50" w:line="240" w:lineRule="auto"/>
              <w:ind w:left="170" w:hanging="125"/>
            </w:pPr>
            <w:r>
              <w:rPr>
                <w:sz w:val="17"/>
              </w:rPr>
              <w:t>• Check database changes, duplicate requests, error handling and audit records where access is available.</w:t>
            </w:r>
          </w:p>
          <w:p>
            <w:pPr>
              <w:pStyle w:val="BodyText"/>
              <w:spacing w:after="50" w:line="240" w:lineRule="auto"/>
              <w:ind w:left="170" w:hanging="125"/>
            </w:pPr>
            <w:r>
              <w:rPr>
                <w:sz w:val="17"/>
              </w:rPr>
              <w:t>• Review logs for exceptions, timeouts, failed jobs and incorrect device or user mapping.</w:t>
            </w:r>
          </w:p>
        </w:tc>
        <w:tc>
          <w:tcPr>
            <w:tcW w:type="dxa" w:w="5046"/>
            <w:vAlign w:val="center"/>
            <w:tcMar>
              <w:top w:w="90" w:type="dxa"/>
              <w:start w:w="110" w:type="dxa"/>
              <w:bottom w:w="90" w:type="dxa"/>
              <w:end w:w="110" w:type="dxa"/>
            </w:tcMar>
            <w:shd w:fill="EAF2F8"/>
          </w:tcPr>
          <w:p>
            <w:pPr>
              <w:pStyle w:val="BodyText"/>
              <w:spacing w:after="50" w:line="240" w:lineRule="auto"/>
              <w:ind w:left="170" w:hanging="125"/>
            </w:pPr>
            <w:r/>
            <w:r>
              <w:rPr>
                <w:sz w:val="17"/>
              </w:rPr>
              <w:t>• Run API smoke and regression suites for critical endpoints.</w:t>
            </w:r>
          </w:p>
          <w:p>
            <w:pPr>
              <w:pStyle w:val="BodyText"/>
              <w:spacing w:after="50" w:line="240" w:lineRule="auto"/>
              <w:ind w:left="170" w:hanging="125"/>
            </w:pPr>
            <w:r>
              <w:rPr>
                <w:sz w:val="17"/>
              </w:rPr>
              <w:t>• Validate response schemas, required fields, data types and contract compatibility.</w:t>
            </w:r>
          </w:p>
          <w:p>
            <w:pPr>
              <w:pStyle w:val="BodyText"/>
              <w:spacing w:after="50" w:line="240" w:lineRule="auto"/>
              <w:ind w:left="170" w:hanging="125"/>
            </w:pPr>
            <w:r>
              <w:rPr>
                <w:sz w:val="17"/>
              </w:rPr>
              <w:t>• Run controlled load checks for response time, throughput, errors and recovery.</w:t>
            </w:r>
          </w:p>
          <w:p>
            <w:pPr>
              <w:pStyle w:val="BodyText"/>
              <w:spacing w:after="50" w:line="240" w:lineRule="auto"/>
              <w:ind w:left="170" w:hanging="125"/>
            </w:pPr>
            <w:r>
              <w:rPr>
                <w:sz w:val="17"/>
              </w:rPr>
              <w:t>• Monitor service health, queues, database connections and scheduled-job failures.</w:t>
            </w:r>
          </w:p>
        </w:tc>
      </w:tr>
    </w:tbl>
    <w:p>
      <w:pPr>
        <w:pStyle w:val="Heading1"/>
        <w:spacing w:before="100" w:after="60"/>
      </w:pPr>
      <w:r>
        <w:t>Recommended daily execution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24"/>
        <w:gridCol w:w="2324"/>
        <w:gridCol w:w="2324"/>
        <w:gridCol w:w="2381"/>
      </w:tblGrid>
      <w:tr>
        <w:trPr>
          <w:tblHeader w:val="true"/>
        </w:trPr>
        <w:tc>
          <w:tcPr>
            <w:tcW w:type="dxa" w:w="2324"/>
            <w:shd w:fill="17365D"/>
            <w:tcMar>
              <w:top w:w="70" w:type="dxa"/>
              <w:start w:w="80" w:type="dxa"/>
              <w:bottom w:w="70" w:type="dxa"/>
              <w:end w:w="80" w:type="dxa"/>
            </w:tcMar>
            <w:vAlign w:val="center"/>
          </w:tcPr>
          <w:p>
            <w:pPr>
              <w:spacing w:after="0"/>
              <w:jc w:val="center"/>
            </w:pPr>
            <w:r>
              <w:rPr>
                <w:b/>
                <w:color w:val="FFFFFF"/>
                <w:sz w:val="17"/>
              </w:rPr>
              <w:t>Start of day</w:t>
            </w:r>
          </w:p>
        </w:tc>
        <w:tc>
          <w:tcPr>
            <w:tcW w:type="dxa" w:w="2324"/>
            <w:shd w:fill="17365D"/>
            <w:tcMar>
              <w:top w:w="70" w:type="dxa"/>
              <w:start w:w="80" w:type="dxa"/>
              <w:bottom w:w="70" w:type="dxa"/>
              <w:end w:w="80" w:type="dxa"/>
            </w:tcMar>
            <w:vAlign w:val="center"/>
          </w:tcPr>
          <w:p>
            <w:pPr>
              <w:spacing w:after="0"/>
              <w:jc w:val="center"/>
            </w:pPr>
            <w:r>
              <w:rPr>
                <w:b/>
                <w:color w:val="FFFFFF"/>
                <w:sz w:val="17"/>
              </w:rPr>
              <w:t>After a build</w:t>
            </w:r>
          </w:p>
        </w:tc>
        <w:tc>
          <w:tcPr>
            <w:tcW w:type="dxa" w:w="2324"/>
            <w:shd w:fill="17365D"/>
            <w:tcMar>
              <w:top w:w="70" w:type="dxa"/>
              <w:start w:w="80" w:type="dxa"/>
              <w:bottom w:w="70" w:type="dxa"/>
              <w:end w:w="80" w:type="dxa"/>
            </w:tcMar>
            <w:vAlign w:val="center"/>
          </w:tcPr>
          <w:p>
            <w:pPr>
              <w:spacing w:after="0"/>
              <w:jc w:val="center"/>
            </w:pPr>
            <w:r>
              <w:rPr>
                <w:b/>
                <w:color w:val="FFFFFF"/>
                <w:sz w:val="17"/>
              </w:rPr>
              <w:t>During the day</w:t>
            </w:r>
          </w:p>
        </w:tc>
        <w:tc>
          <w:tcPr>
            <w:tcW w:type="dxa" w:w="2381"/>
            <w:shd w:fill="17365D"/>
            <w:tcMar>
              <w:top w:w="70" w:type="dxa"/>
              <w:start w:w="80" w:type="dxa"/>
              <w:bottom w:w="70" w:type="dxa"/>
              <w:end w:w="80" w:type="dxa"/>
            </w:tcMar>
            <w:vAlign w:val="center"/>
          </w:tcPr>
          <w:p>
            <w:pPr>
              <w:spacing w:after="0"/>
              <w:jc w:val="center"/>
            </w:pPr>
            <w:r>
              <w:rPr>
                <w:b/>
                <w:color w:val="FFFFFF"/>
                <w:sz w:val="17"/>
              </w:rPr>
              <w:t>End of day</w:t>
            </w:r>
          </w:p>
        </w:tc>
      </w:tr>
      <w:tr>
        <w:tc>
          <w:tcPr>
            <w:tcW w:type="dxa" w:w="2324"/>
            <w:shd w:fill="FFFFFF"/>
            <w:tcMar>
              <w:top w:w="85" w:type="dxa"/>
              <w:start w:w="90" w:type="dxa"/>
              <w:bottom w:w="85" w:type="dxa"/>
              <w:end w:w="90" w:type="dxa"/>
            </w:tcMar>
            <w:vAlign w:val="center"/>
          </w:tcPr>
          <w:p>
            <w:pPr>
              <w:spacing w:after="0"/>
              <w:jc w:val="center"/>
            </w:pPr>
            <w:r>
              <w:rPr>
                <w:sz w:val="16"/>
              </w:rPr>
              <w:t>Review deployments, open defects and environment health.</w:t>
            </w:r>
          </w:p>
        </w:tc>
        <w:tc>
          <w:tcPr>
            <w:tcW w:type="dxa" w:w="2324"/>
            <w:shd w:fill="F7F7F7"/>
            <w:tcMar>
              <w:top w:w="85" w:type="dxa"/>
              <w:start w:w="90" w:type="dxa"/>
              <w:bottom w:w="85" w:type="dxa"/>
              <w:end w:w="90" w:type="dxa"/>
            </w:tcMar>
            <w:vAlign w:val="center"/>
          </w:tcPr>
          <w:p>
            <w:pPr>
              <w:spacing w:after="0"/>
              <w:jc w:val="center"/>
            </w:pPr>
            <w:r>
              <w:rPr>
                <w:sz w:val="16"/>
              </w:rPr>
              <w:t>Run automated smoke tests, then manually verify critical flows.</w:t>
            </w:r>
          </w:p>
        </w:tc>
        <w:tc>
          <w:tcPr>
            <w:tcW w:type="dxa" w:w="2324"/>
            <w:shd w:fill="FFFFFF"/>
            <w:tcMar>
              <w:top w:w="85" w:type="dxa"/>
              <w:start w:w="90" w:type="dxa"/>
              <w:bottom w:w="85" w:type="dxa"/>
              <w:end w:w="90" w:type="dxa"/>
            </w:tcMar>
            <w:vAlign w:val="center"/>
          </w:tcPr>
          <w:p>
            <w:pPr>
              <w:spacing w:after="0"/>
              <w:jc w:val="center"/>
            </w:pPr>
            <w:r>
              <w:rPr>
                <w:sz w:val="16"/>
              </w:rPr>
              <w:t>Retest fixes and investigate failures with logs and request references.</w:t>
            </w:r>
          </w:p>
        </w:tc>
        <w:tc>
          <w:tcPr>
            <w:tcW w:type="dxa" w:w="2381"/>
            <w:shd w:fill="F7F7F7"/>
            <w:tcMar>
              <w:top w:w="85" w:type="dxa"/>
              <w:start w:w="90" w:type="dxa"/>
              <w:bottom w:w="85" w:type="dxa"/>
              <w:end w:w="90" w:type="dxa"/>
            </w:tcMar>
            <w:vAlign w:val="center"/>
          </w:tcPr>
          <w:p>
            <w:pPr>
              <w:spacing w:after="0"/>
              <w:jc w:val="center"/>
            </w:pPr>
            <w:r>
              <w:rPr>
                <w:sz w:val="16"/>
              </w:rPr>
              <w:t>Publish pass, fail and blocked results with evidence and owners.</w:t>
            </w:r>
          </w:p>
        </w:tc>
      </w:tr>
    </w:tbl>
    <w:p>
      <w:pPr>
        <w:pStyle w:val="BodyText"/>
        <w:spacing w:before="100" w:after="0" w:line="240" w:lineRule="auto"/>
      </w:pPr>
      <w:r>
        <w:rPr>
          <w:b/>
        </w:rPr>
        <w:t xml:space="preserve">Daily evidence to keep  </w:t>
      </w:r>
      <w:r>
        <w:t>Build and environment, test date, test data, pass or fail status, screenshots or logs, defect ID, severity, owner and retest result.</w:t>
      </w:r>
    </w:p>
    <w:sectPr w:rsidR="00FC693F" w:rsidRPr="0006063C" w:rsidSect="00034616">
      <w:pgSz w:w="11906" w:h="16838"/>
      <w:pgMar w:top="709" w:right="907" w:bottom="65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Frontend and Backend Testing Guide</dc:title>
  <dc:subject>Daily manual and automated software testing activities</dc:subject>
  <dc:creator>QA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