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808080"/>
          <w:sz w:val="22"/>
          <w:szCs w:val="22"/>
        </w:rPr>
        <w:t xml:space="preserve">SYSTEMATIC REVIEW PROTOCOL (PROSPERO format)</w:t>
      </w:r>
    </w:p>
    <w:p>
      <w:pPr>
        <w:spacing w:after="300"/>
        <w:jc w:val="center"/>
      </w:pPr>
      <w:r>
        <w:rPr>
          <w:b/>
          <w:bCs/>
          <w:color w:val="1F4E79"/>
          <w:sz w:val="32"/>
          <w:szCs w:val="32"/>
        </w:rPr>
        <w:t xml:space="preserve">Accuracy and Safety-Related Limitations of General-Purpose LLM Chatbots for Dental Patient Information: A Systematic Review Across Specialties</w:t>
      </w:r>
    </w:p>
    <w:p>
      <w:pPr>
        <w:spacing w:after="120" w:line="300"/>
        <w:jc w:val="center"/>
      </w:pPr>
      <w:r>
        <w:t xml:space="preserve">Version 1.1 – 2026-10-08 (v1.0 drafted before title/abstract screening; v1.1 incorporates the clarifications from the calibration round)</w:t>
      </w:r>
    </w:p>
    <w:p>
      <w:pPr>
        <w:spacing w:after="120" w:line="300"/>
        <w:jc w:val="center"/>
      </w:pPr>
      <w:r>
        <w:t xml:space="preserve">Review team: </w:t>
      </w:r>
      <w:r>
        <w:rPr>
          <w:highlight w:val="yellow"/>
          <w:highlightCs w:val="yellow"/>
        </w:rPr>
        <w:t xml:space="preserve">[team lead / guarantor]</w:t>
      </w:r>
      <w:r>
        <w:t xml:space="preserve">, Reviewer 1 (oral and maxillofacial surgery), Reviewer 2 (orthodontics/paediatric dentistry, dental public health), Reviewer 3 (periodontology/restorative dentistry, methodologist), </w:t>
      </w:r>
      <w:r>
        <w:rPr>
          <w:highlight w:val="yellow"/>
          <w:highlightCs w:val="yellow"/>
        </w:rPr>
        <w:t xml:space="preserve">[statistician]</w:t>
      </w:r>
      <w:r>
        <w:t xml:space="preserve">, </w:t>
      </w:r>
      <w:r>
        <w:rPr>
          <w:highlight w:val="yellow"/>
          <w:highlightCs w:val="yellow"/>
        </w:rPr>
        <w:t xml:space="preserve">[information specialist]</w:t>
      </w:r>
    </w:p>
    <w:p>
      <w:pPr>
        <w:pStyle w:val="Heading1"/>
        <w:spacing w:after="160" w:before="300"/>
      </w:pPr>
      <w:r>
        <w:t xml:space="preserve">1. Review title and timescale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Field</w:t>
            </w:r>
          </w:p>
        </w:tc>
        <w:tc>
          <w:tcPr>
            <w:tcW w:type="dxa" w:w="6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Entry</w:t>
            </w:r>
          </w:p>
        </w:tc>
      </w:tr>
      <w:tr>
        <w:trPr>
          <w:tblHeader w:val="false"/>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Review title</w:t>
            </w:r>
          </w:p>
        </w:tc>
        <w:tc>
          <w:tcPr>
            <w:tcW w:type="dxa" w:w="6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Accuracy and Safety-Related Limitations of General-Purpose LLM Chatbots for Dental Patient Information: A Systematic Review Across Specialties</w:t>
            </w:r>
          </w:p>
        </w:tc>
      </w:tr>
      <w:tr>
        <w:trPr>
          <w:tblHeader w:val="false"/>
        </w:trPr>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Type of review</w:t>
            </w:r>
          </w:p>
        </w:tc>
        <w:tc>
          <w:tcPr>
            <w:tcW w:type="dxa" w:w="6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Systematic review with meta-analysis (where appropriate) of primary evaluation studies; PRISMA 2020 / PRISMA-S</w:t>
            </w:r>
          </w:p>
        </w:tc>
      </w:tr>
      <w:tr>
        <w:trPr>
          <w:tblHeader w:val="false"/>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Anticipated start / completion</w:t>
            </w:r>
          </w:p>
        </w:tc>
        <w:tc>
          <w:tcPr>
            <w:tcW w:type="dxa" w:w="6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Searches 2 October 2026; title/abstract screening completed 2026-10-08; full-text screening, extraction and synthesis </w:t>
            </w:r>
            <w:r>
              <w:rPr>
                <w:sz w:val="18"/>
                <w:szCs w:val="18"/>
                <w:highlight w:val="yellow"/>
                <w:highlightCs w:val="yellow"/>
              </w:rPr>
              <w:t xml:space="preserve">[dates]</w:t>
            </w:r>
            <w:r>
              <w:rPr>
                <w:sz w:val="18"/>
                <w:szCs w:val="18"/>
              </w:rPr>
              <w:t xml:space="preserve">; submission </w:t>
            </w:r>
            <w:r>
              <w:rPr>
                <w:sz w:val="18"/>
                <w:szCs w:val="18"/>
                <w:highlight w:val="yellow"/>
                <w:highlightCs w:val="yellow"/>
              </w:rPr>
              <w:t xml:space="preserve">[date]</w:t>
            </w:r>
          </w:p>
        </w:tc>
      </w:tr>
      <w:tr>
        <w:trPr>
          <w:tblHeader w:val="false"/>
        </w:trPr>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Stage at registration</w:t>
            </w:r>
          </w:p>
        </w:tc>
        <w:tc>
          <w:tcPr>
            <w:tcW w:type="dxa" w:w="6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Searches completed; deduplication completed; title/abstract screening completed (PROSPERO accepts registration before data extraction starts)</w:t>
            </w:r>
          </w:p>
        </w:tc>
      </w:tr>
      <w:tr>
        <w:trPr>
          <w:tblHeader w:val="false"/>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Language</w:t>
            </w:r>
          </w:p>
        </w:tc>
        <w:tc>
          <w:tcPr>
            <w:tcW w:type="dxa" w:w="6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English</w:t>
            </w:r>
          </w:p>
        </w:tc>
      </w:tr>
      <w:tr>
        <w:trPr>
          <w:tblHeader w:val="false"/>
        </w:trPr>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Country</w:t>
            </w:r>
          </w:p>
        </w:tc>
        <w:tc>
          <w:tcPr>
            <w:tcW w:type="dxa" w:w="6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Germany</w:t>
            </w:r>
          </w:p>
        </w:tc>
      </w:tr>
    </w:tbl>
    <w:p>
      <w:pPr>
        <w:pStyle w:val="Heading1"/>
        <w:spacing w:after="160" w:before="300"/>
      </w:pPr>
      <w:r>
        <w:t xml:space="preserve">2. Review questions</w:t>
      </w:r>
    </w:p>
    <w:p>
      <w:pPr>
        <w:spacing w:after="120" w:line="300"/>
        <w:jc w:val="both"/>
      </w:pPr>
      <w:r>
        <w:rPr>
          <w:b/>
          <w:bCs/>
        </w:rPr>
        <w:t xml:space="preserve">Primary question:</w:t>
      </w:r>
      <w:r>
        <w:t xml:space="preserve"> How accurate is patient-facing dental health information generated by general-purpose large language model (LLM) chatbots, and what potentially harmful errors or safety-relevant omissions are reported across dental specialties?</w:t>
      </w:r>
    </w:p>
    <w:p>
      <w:pPr>
        <w:spacing w:after="120" w:line="300"/>
        <w:jc w:val="both"/>
      </w:pPr>
      <w:r>
        <w:rPr>
          <w:b/>
          <w:bCs/>
        </w:rPr>
        <w:t xml:space="preserve">Secondary question:</w:t>
      </w:r>
      <w:r>
        <w:t xml:space="preserve"> To what extent do reported accuracy and safety-related outcomes differ across dental specialties, and how are these differences associated with model version, task characteristics and evaluation methods?</w:t>
      </w:r>
    </w:p>
    <w:p>
      <w:pPr>
        <w:spacing w:after="120" w:line="300"/>
        <w:jc w:val="both"/>
      </w:pPr>
      <w:r>
        <w:rPr>
          <w:b/>
          <w:bCs/>
        </w:rPr>
        <w:t xml:space="preserve">Objectives:</w:t>
      </w:r>
      <w:r>
        <w:t xml:space="preserve"> (1) to estimate the accuracy of chatbot-generated dental patient information; (2) to quantify and characterise potentially harmful errors and safety-relevant omissions; (3) to compare accuracy and safety outcomes across dental specialties; (4) to explore the association with model family/version, task characteristics and evaluation methods; (5) to appraise methodological and reporting quality of the evidence.</w:t>
      </w:r>
    </w:p>
    <w:p>
      <w:pPr>
        <w:spacing w:after="120" w:line="300"/>
        <w:jc w:val="both"/>
      </w:pPr>
      <w:r>
        <w:rPr>
          <w:b/>
          <w:bCs/>
        </w:rPr>
        <w:t xml:space="preserve">Rationale and differences from the template review.</w:t>
      </w:r>
      <w:r>
        <w:t xml:space="preserve"> The design follows the systematic review and meta-analysis of Zhang et al. [1] (PRISMA, modified QUADAS-2, pooled accuracy, subgroup by LLM version) and extends it by (i) safety-related outcomes as co-primary outcomes, (ii) specialty-stratified synthesis, (iii) multilevel models for multiple chatbots per study, (iv) a broader set of patient-facing tasks and (v) an updated search until October 2026 covering newer models.</w:t>
      </w:r>
    </w:p>
    <w:p>
      <w:pPr>
        <w:pStyle w:val="Heading1"/>
        <w:spacing w:after="160" w:before="300"/>
      </w:pPr>
      <w:r>
        <w:t xml:space="preserve">3. Searches</w:t>
      </w:r>
    </w:p>
    <w:p>
      <w:pPr>
        <w:spacing w:after="120" w:line="300"/>
        <w:jc w:val="both"/>
      </w:pPr>
      <w:r>
        <w:t xml:space="preserve">The search was designed by the review team in accordance with PRISMA-S [2] and conducted on </w:t>
      </w:r>
      <w:r>
        <w:rPr>
          <w:b/>
          <w:bCs/>
        </w:rPr>
        <w:t xml:space="preserve">2 October 2026</w:t>
      </w:r>
      <w:r>
        <w:t xml:space="preserve">, covering publications from </w:t>
      </w:r>
      <w:r>
        <w:rPr>
          <w:b/>
          <w:bCs/>
        </w:rPr>
        <w:t xml:space="preserve">1 January 2022 to 2 October 2026</w:t>
      </w:r>
      <w:r>
        <w:t xml:space="preserve">. Ten information sources were searched (Table 2): six bibliographic databases/indexes with fielded or API-based searching (PubMed/MEDLINE, Europe PMC including preprints, Semantic Scholar, Crossref, DOAJ and arXiv) and four AI-assisted search connectors (Amass BiomedCore, Wiley Scholar Gateway full-text search, Consensus and Elicit). Elicit did not return records because all queries were refused (no API access).</w:t>
      </w:r>
    </w:p>
    <w:p>
      <w:pPr>
        <w:spacing w:after="120" w:line="300"/>
        <w:jc w:val="both"/>
      </w:pPr>
      <w:r>
        <w:t xml:space="preserve">Search terms combined two concept blocks: </w:t>
      </w:r>
      <w:r>
        <w:rPr>
          <w:b/>
          <w:bCs/>
        </w:rPr>
        <w:t xml:space="preserve">C1 – LLM/chatbot</w:t>
      </w:r>
      <w:r>
        <w:t xml:space="preserve"> (e.g. ChatGPT, "large language model", chatbot, "generative AI", GPT-4, Gemini, Bard, Copilot, Claude, DeepSeek, Llama, Perplexity) AND </w:t>
      </w:r>
      <w:r>
        <w:rPr>
          <w:b/>
          <w:bCs/>
        </w:rPr>
        <w:t xml:space="preserve">C2 – dentistry</w:t>
      </w:r>
      <w:r>
        <w:t xml:space="preserve"> (e.g. dental, dentistry, dentist, "oral health", orthodontic, endodontic, periodontal, prosthodontic, "oral surgery", maxillofacial, "dental implant", "pediatric dentistry", caries, teeth). In contrast to Zhang et al. [1], who additionally required patient- and outcome-related terms, no third (patient/outcome) block was applied in order to maximise sensitivity; patient-facing focus and outcomes were assessed during screening. Natural-language queries covering each specialty and safety-related concepts (e.g. "chatbot misinformation hallucination dentistry", "chatbot dental trauma emergency advice") were used for the semantic connectors. For Crossref, 120 pairwise C1×C2 combination queries were run and only records containing at least one C1 and one C2 term in title/abstract/keywords were exported. The full search strings, dates, limits and record counts per source are documented in Supplementary Table S1 and in the search workbook.</w:t>
      </w:r>
    </w:p>
    <w:p>
      <w:pPr>
        <w:spacing w:after="120" w:line="300"/>
        <w:jc w:val="both"/>
      </w:pPr>
      <w:r>
        <w:t xml:space="preserve">Supplementary sources without fielded Boolean search (connectors and full-text search) were post-filtered automatically: records in which no C1 AND no C2 term occurred in title, abstract or keywords were marked as ineligible by an automation tool (PRISMA 2020 item 16a). No language or publication-type filters were applied at the search stage.</w:t>
      </w:r>
    </w:p>
    <w:p>
      <w:pPr>
        <w:pBdr>
          <w:left w:val="single" w:color="2E75B6" w:sz="12" w:space="6"/>
        </w:pBdr>
        <w:shd w:fill="EAF1FB" w:color="auto" w:val="clear"/>
        <w:spacing w:after="120"/>
      </w:pPr>
      <w:r>
        <w:rPr>
          <w:i/>
          <w:iCs/>
          <w:color w:val="1F4E79"/>
          <w:sz w:val="20"/>
          <w:szCs w:val="20"/>
        </w:rPr>
        <w:t xml:space="preserve">Action for the team before submission: (1) paste the verbatim database strings from the sheet Search_Strategy of LLM_Dental_SR_Search_Results_2026-10-02.xlsx into Table S1; (2) complement the search with Scopus, Web of Science Core Collection and Embase via the JLU Giessen library licences (not reachable through the API-based workflow), IEEE Xplore and Google Scholar (first 200 hits), and register these additional yields in the PRISMA diagram; (3) run backward/forward citation searching of all included studies and of the related systematic reviews flagged during screening; (4) repeat all searches within 6 months of submission.</w:t>
      </w:r>
    </w:p>
    <w:p>
      <w:pPr>
        <w:spacing w:after="80" w:before="160"/>
      </w:pPr>
      <w:r>
        <w:rPr>
          <w:b/>
          <w:bCs/>
          <w:sz w:val="20"/>
          <w:szCs w:val="20"/>
        </w:rPr>
        <w:t xml:space="preserve">Table 2. Information sources, search identifiers and records retrieved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2500"/>
        <w:gridCol w:w="1500"/>
        <w:gridCol w:w="1000"/>
      </w:tblGrid>
      <w:tr>
        <w:trPr>
          <w:tblHeader/>
        </w:trPr>
        <w:tc>
          <w:tcPr>
            <w:tcW w:type="dxa" w:w="4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Source (interface)</w:t>
            </w:r>
          </w:p>
        </w:tc>
        <w:tc>
          <w:tcPr>
            <w:tcW w:type="dxa" w:w="2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Type</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Search ID</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Records</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PubMed/MEDLINE (E-utilities)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Bibliographic database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PM-01</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1,315</w:t>
            </w:r>
          </w:p>
        </w:tc>
      </w:tr>
      <w:tr>
        <w:trPr>
          <w:tblHeader w:val="false"/>
        </w:trPr>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Europe PMC (REST API; incl. preprints)</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Bibliographic database + preprints</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EP-01</w:t>
            </w:r>
          </w:p>
        </w:tc>
        <w:tc>
          <w:tcPr>
            <w:tcW w:type="dxa" w:w="1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1,400</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Semantic Scholar (Graph API)</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Academic search engine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S2-01</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1,903</w:t>
            </w:r>
          </w:p>
        </w:tc>
      </w:tr>
      <w:tr>
        <w:trPr>
          <w:tblHeader w:val="false"/>
        </w:trPr>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Crossref (REST API; 120 combination queries, local C1∧C2 filter)</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Metadata registry</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CR-01..CR-120</w:t>
            </w:r>
          </w:p>
        </w:tc>
        <w:tc>
          <w:tcPr>
            <w:tcW w:type="dxa" w:w="1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694</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DOAJ (API)</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Open-access journal index</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DJ-01</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1,018</w:t>
            </w:r>
          </w:p>
        </w:tc>
      </w:tr>
      <w:tr>
        <w:trPr>
          <w:tblHeader w:val="false"/>
        </w:trPr>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arXiv (API)</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Preprint server</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AX-01</w:t>
            </w:r>
          </w:p>
        </w:tc>
        <w:tc>
          <w:tcPr>
            <w:tcW w:type="dxa" w:w="1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54</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Amass BiomedCore (connector)</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Biomedical literature index (PubMed/PMC-derived)</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AM01, AM02, Q01–Q15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850</w:t>
            </w:r>
          </w:p>
        </w:tc>
      </w:tr>
      <w:tr>
        <w:trPr>
          <w:tblHeader w:val="false"/>
        </w:trPr>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Wiley Scholar Gateway (connector, full text)</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Publisher full-text search</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Q01–Q15</w:t>
            </w:r>
          </w:p>
        </w:tc>
        <w:tc>
          <w:tcPr>
            <w:tcW w:type="dxa" w:w="1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300</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Consensus (connector)</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Semantic search engine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Q01–Q20</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200</w:t>
            </w:r>
          </w:p>
        </w:tc>
      </w:tr>
      <w:tr>
        <w:trPr>
          <w:tblHeader w:val="false"/>
        </w:trPr>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Elicit (connector)</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Semantic search engine</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w:t>
            </w:r>
          </w:p>
        </w:tc>
        <w:tc>
          <w:tcPr>
            <w:tcW w:type="dxa" w:w="1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0 (queries refused: no API access)</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Total</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7,734</w:t>
            </w:r>
          </w:p>
        </w:tc>
      </w:tr>
    </w:tbl>
    <w:p>
      <w:pPr>
        <w:pStyle w:val="Heading1"/>
        <w:spacing w:after="160" w:before="300"/>
      </w:pPr>
      <w:r>
        <w:t xml:space="preserve">4. Condition, participants, intervention, comparator (PICOS)</w:t>
      </w:r>
    </w:p>
    <w:p>
      <w:pPr>
        <w:spacing w:after="80" w:before="160"/>
      </w:pPr>
      <w:r>
        <w:rPr>
          <w:b/>
          <w:bCs/>
          <w:sz w:val="20"/>
          <w:szCs w:val="20"/>
        </w:rPr>
        <w:t xml:space="preserve">Table 1a. PICOS eligibility criteria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00"/>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Element</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Definition for this review</w:t>
            </w:r>
          </w:p>
        </w:tc>
        <w:tc>
          <w:tcPr>
            <w:tcW w:type="dxa" w:w="4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Operationalisation / notes</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 – Population (information need)</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Dental, oral and maxillofacial health information needs of patients, parents/caregivers and the lay public, in any dental specialty.</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Patient FAQs, patient-style questions, lay scenarios (e.g. dental trauma first aid), patient education topics. Specialties coded a priori: OMFS/dentoalveolar surgery, orthodontics, endodontics, periodontology, prosthodontics, implantology, paediatric dentistry, restorative dentistry/cariology, oral medicine/pathology incl. oral cancer, TMD/orofacial pain, dental trauma, preventive/community oral health, oral radiology, cleft lip/palate, dental sleep medicine, multi-specialty/general dentistry.</w:t>
            </w:r>
          </w:p>
        </w:tc>
      </w:tr>
      <w:tr>
        <w:trPr>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I – Index technology</w:t>
            </w:r>
          </w:p>
        </w:tc>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General-purpose, publicly available LLM chatbots used as released (web interface, app or API).</w:t>
            </w:r>
          </w:p>
        </w:tc>
        <w:tc>
          <w:tcPr>
            <w:tcW w:type="dxa" w:w="4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ChatGPT (GPT-3.5, GPT-4, GPT-4o, o-series, GPT-5), Gemini/Bard, Microsoft Copilot/Bing Chat, Claude, Llama/Meta AI, Perplexity, DeepSeek, Mistral/Le Chat, Grok, ERNIE Bot, Qwen and comparable systems. Custom GPTs, RAG or fine-tuned models are eligible comparators but only general-purpose arms enter the primary synthesis.</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C – Comparator</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Not required.</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If present: other LLMs/versions, dentists/specialists, professional websites, guidelines, search engines.</w:t>
            </w:r>
          </w:p>
        </w:tc>
      </w:tr>
      <w:tr>
        <w:trPr>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O – Outcomes</w:t>
            </w:r>
          </w:p>
        </w:tc>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Primary: accuracy (correctness) of LLM-generated content; potentially harmful errors; safety-relevant omissions.</w:t>
            </w:r>
          </w:p>
        </w:tc>
        <w:tc>
          <w:tcPr>
            <w:tcW w:type="dxa" w:w="4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Secondary: completeness, overall/content quality (GQS, DISCERN, EQIP), guideline concordance, readability (FRE, FKGL, SMOG), understandability/actionability (PEMAT), consistency/reproducibility, empathy, inter-rater reliability. A study must report ≥1 primary outcome (accuracy or a safety outcome) to be included.</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 – Study design</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Primary empirical evaluation studies (cross-sectional/in-silico, comparative or observational) with original data.</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Full articles and research letters/short communications with original data in peer-reviewed journals. Excluded: reviews, editorials, commentaries, letters without data, protocols, conference abstracts, book chapters, errata, questionnaire surveys of perceptions.</w:t>
            </w:r>
          </w:p>
        </w:tc>
      </w:tr>
      <w:tr>
        <w:trPr>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Timeframe / language</w:t>
            </w:r>
          </w:p>
        </w:tc>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Published 1 January 2022 – 2 October 2026 (de facto from the release of ChatGPT, 30 November 2022).</w:t>
            </w:r>
          </w:p>
        </w:tc>
        <w:tc>
          <w:tcPr>
            <w:tcW w:type="dxa" w:w="4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No restriction on the language of the chatbot query. Full texts in English or German assessed directly; other languages via verified machine translation.</w:t>
            </w:r>
          </w:p>
        </w:tc>
      </w:tr>
    </w:tbl>
    <w:p>
      <w:pPr>
        <w:pStyle w:val="Heading1"/>
        <w:spacing w:after="160" w:before="300"/>
      </w:pPr>
      <w:r>
        <w:t xml:space="preserve">5. Eligibility and exclusion criteria</w:t>
      </w:r>
    </w:p>
    <w:p>
      <w:pPr>
        <w:spacing w:after="80" w:before="160"/>
      </w:pPr>
      <w:r>
        <w:rPr>
          <w:b/>
          <w:bCs/>
          <w:sz w:val="20"/>
          <w:szCs w:val="20"/>
        </w:rPr>
        <w:t xml:space="preserve">Table 1b. Hierarchical exclusion reasons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4100"/>
      </w:tblGrid>
      <w:tr>
        <w:trPr>
          <w:tblHeader/>
        </w:trPr>
        <w:tc>
          <w:tcPr>
            <w:tcW w:type="dxa" w:w="1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Code</w:t>
            </w:r>
          </w:p>
        </w:tc>
        <w:tc>
          <w:tcPr>
            <w:tcW w:type="dxa" w:w="4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Title/abstract stage (TA)</w:t>
            </w:r>
          </w:p>
        </w:tc>
        <w:tc>
          <w:tcPr>
            <w:tcW w:type="dxa" w:w="4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Full-text stage (FT)</w:t>
            </w:r>
          </w:p>
        </w:tc>
      </w:tr>
      <w:tr>
        <w:trPr>
          <w:tblHeader w:val="false"/>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E1 / FT1</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Not a dental, oral or maxillofacial topic</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Not a dental, oral or maxillofacial topic</w:t>
            </w:r>
          </w:p>
        </w:tc>
      </w:tr>
      <w:tr>
        <w:trPr>
          <w:tblHeader w:val="false"/>
        </w:trPr>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E2 / FT2</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Not a general-purpose LLM chatbot (other AI, rule-based bot, only domain-specific model)</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No extractable general-purpose LLM arm</w:t>
            </w:r>
          </w:p>
        </w:tc>
      </w:tr>
      <w:tr>
        <w:trPr>
          <w:tblHeader w:val="false"/>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E3 / FT3</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Not patient-facing (exam/MCQ, professional decision support, image diagnosis, education, research use)</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Patient-facing subset not identifiable or not separately reported</w:t>
            </w:r>
          </w:p>
        </w:tc>
      </w:tr>
      <w:tr>
        <w:trPr>
          <w:tblHeader w:val="false"/>
        </w:trPr>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E4 / FT4</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No content evaluation of LLM output (e.g. readability only, perceptions survey)</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No accuracy or safety outcome reported (or not extractable)</w:t>
            </w:r>
          </w:p>
        </w:tc>
      </w:tr>
      <w:tr>
        <w:trPr>
          <w:tblHeader w:val="false"/>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E5 / FT5</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Ineligible publication type (review, editorial, letter/comment without data, protocol, conference abstract, chapter, erratum)</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Ineligible publication type</w:t>
            </w:r>
          </w:p>
        </w:tc>
      </w:tr>
      <w:tr>
        <w:trPr>
          <w:tblHeader w:val="false"/>
        </w:trPr>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 / FT6</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Not peer-reviewed (preprint without journal version)</w:t>
            </w:r>
          </w:p>
        </w:tc>
      </w:tr>
      <w:tr>
        <w:trPr>
          <w:tblHeader w:val="false"/>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 / FT7</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Duplicate publication / overlapping dataset (most complete report retained)</w:t>
            </w:r>
          </w:p>
        </w:tc>
      </w:tr>
      <w:tr>
        <w:trPr>
          <w:tblHeader w:val="false"/>
        </w:trPr>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 / FT8</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Full text not retrievable after library request and author contact</w:t>
            </w:r>
          </w:p>
        </w:tc>
      </w:tr>
    </w:tbl>
    <w:p>
      <w:pPr>
        <w:spacing w:after="160"/>
      </w:pPr>
      <w:r>
        <w:rPr>
          <w:sz w:val="16"/>
          <w:szCs w:val="16"/>
        </w:rPr>
        <w:t xml:space="preserve">Hierarchical application (first applicable code). Non-primary publications are coded E5 first (v1.1).</w:t>
      </w:r>
    </w:p>
    <w:p>
      <w:pPr>
        <w:pStyle w:val="Heading1"/>
        <w:spacing w:after="160" w:before="300"/>
      </w:pPr>
      <w:r>
        <w:t xml:space="preserve">6. Context</w:t>
      </w:r>
    </w:p>
    <w:p>
      <w:pPr>
        <w:spacing w:after="120" w:line="300"/>
        <w:jc w:val="both"/>
      </w:pPr>
      <w:r>
        <w:t xml:space="preserve">Patient-facing use of general-purpose chatbots outside a supervised clinical encounter, i.e. information that patients or caregivers could obtain themselves. Professional decision support, dental education and diagnostic image analysis are out of scope.</w:t>
      </w:r>
    </w:p>
    <w:p>
      <w:pPr>
        <w:pStyle w:val="Heading1"/>
        <w:spacing w:after="160" w:before="300"/>
      </w:pPr>
      <w:r>
        <w:t xml:space="preserve">7. Study selection</w:t>
      </w:r>
    </w:p>
    <w:p>
      <w:pPr>
        <w:spacing w:after="120" w:line="300"/>
        <w:jc w:val="both"/>
      </w:pPr>
      <w:r>
        <w:t xml:space="preserve">All 7,734 records were exported with complete metadata and deduplicated in a scripted, fully documented workflow (Python 3). Duplicate groups were identified via DOI, PMID, PMCID, exact normalised title and fuzzy title matching with conflict checks; within each group one primary record was retained according to a predefined source priority (PubMed &gt; Europe PMC &gt; Crossref &gt; Semantic Scholar &gt; DOAJ &gt; arXiv &gt; connectors) and completed with metadata from the other group members. In total, 4,679 duplicates were removed, leaving 3,055 unique records. A further 865 records from supplementary sources were removed by the automated C1∧C2 filter, 25 peer-review reports/decision letters (not standalone articles) and 1 record outside the search period were removed, resulting in </w:t>
      </w:r>
      <w:r>
        <w:rPr>
          <w:b/>
          <w:bCs/>
        </w:rPr>
        <w:t xml:space="preserve">2,164 records for title/abstract screening</w:t>
      </w:r>
      <w:r>
        <w:t xml:space="preserve">. For records lacking an abstract in all source exports (267), abstracts were retrieved from PubMed and OpenAlex where available (99 records); 168 records remained without abstract and were screened on title and bibliographic information.</w:t>
      </w:r>
    </w:p>
    <w:p>
      <w:pPr>
        <w:spacing w:after="120" w:line="300"/>
        <w:jc w:val="both"/>
      </w:pPr>
      <w:r>
        <w:t xml:space="preserve">Study selection followed a two-stage process (title/abstract, then full text) in line with the Cochrane Handbook [3]. A screening guide with operational definitions, worked borderline rules and a hierarchical exclusion-reason list (Table 1) was developed from the PICOS criteria. Screening was deliberately over-inclusive: records were excluded only when at least one criterion was clearly not met, and the absence of an abstract was never a reason for exclusion.</w:t>
      </w:r>
    </w:p>
    <w:p>
      <w:pPr>
        <w:spacing w:after="120" w:line="300"/>
        <w:jc w:val="both"/>
      </w:pPr>
      <w:r>
        <w:rPr>
          <w:b/>
          <w:bCs/>
        </w:rPr>
        <w:t xml:space="preserve">Reviewer team.</w:t>
      </w:r>
      <w:r>
        <w:t xml:space="preserve"> Three reviewers with different dental backgrounds were assigned fixed roles (Table 3). R1 (oral and maxillofacial surgery) and R2 (orthodontics/paediatric dentistry with dental public health) screened all records independently and blinded to each other's decisions; R3 (periodontology/restorative dentistry, methodologist) resolved conflicts. In this review, the three reviewer roles were executed by separate LLM-based reviewer agents (Claude, Anthropic; one persistent agent instance per role, independent working directories, no access to the other reviewers' decisions), each instructed with the same screening guide and its role-specific professional profile. Use of AI in the selection process is reported in accordance with PRISMA 2020 item 8 and the 2025 position statement on AI use in evidence synthesis [4]; all agent decisions are archived with record-level notes and are verified by the human author team (see below).</w:t>
      </w:r>
    </w:p>
    <w:p>
      <w:pPr>
        <w:spacing w:after="120" w:line="300"/>
        <w:jc w:val="both"/>
      </w:pPr>
      <w:r>
        <w:rPr>
          <w:b/>
          <w:bCs/>
        </w:rPr>
        <w:t xml:space="preserve">Calibration.</w:t>
      </w:r>
      <w:r>
        <w:t xml:space="preserve"> Before the main round, both screeners independently screened a random calibration sample of 60 records (seed 20261008). Agreement was quantified with Cohen's κ [5,6] (include/unsure vs exclude). Agreement in the calibration round was κ = 1.00 (100.0% raw agreement); coding conventions (e.g. priority of the publication-type code, handling of knowledge benchmarks and expert-written patient questions) were clarified and the guide was updated to version 1.1 before the remaining 2,104 records were screened in 18 randomly ordered batches.</w:t>
      </w:r>
    </w:p>
    <w:p>
      <w:pPr>
        <w:spacing w:after="120" w:line="300"/>
        <w:jc w:val="both"/>
      </w:pPr>
      <w:r>
        <w:rPr>
          <w:b/>
          <w:bCs/>
        </w:rPr>
        <w:t xml:space="preserve">Decisions and conflict resolution.</w:t>
      </w:r>
      <w:r>
        <w:t xml:space="preserve"> Each screener assigned INCLUDE, EXCLUDE (with reason code E1–E5) or UNSURE. Records included by both screeners proceeded to full-text assessment; records excluded by both were excluded. All discordant records and all records rated UNSURE by either screener were adjudicated by R3, who had access to both decisions and notes and gave a final, reasoned decision.</w:t>
      </w:r>
    </w:p>
    <w:p>
      <w:pPr>
        <w:spacing w:after="120" w:line="300"/>
        <w:jc w:val="both"/>
      </w:pPr>
      <w:r>
        <w:rPr>
          <w:b/>
          <w:bCs/>
        </w:rPr>
        <w:t xml:space="preserve">Machine-learning quality control (ASReview).</w:t>
      </w:r>
      <w:r>
        <w:t xml:space="preserve"> To guard against erroneous exclusions, an active-learning model from ASReview LAB [7] (ELAS u4: TF-IDF uni-/bigram features, linear SVM, balanced sampling; open-source repository version used by the team) was trained on the final title/abstract labels in a 10-fold cross-validation, yielding an out-of-fold relevance score for every record. Excluded records whose score exceeded the 10th percentile of scores among included records (minimum 50, maximum 100 records with the highest scores) were re-screened by R3 in analogy to the quality-check phase of the SAFE procedure [8]. In addition, the fully labelled dataset was used for an ASReview simulation (three random prior-knowledge seeds) to quantify how early the included records would have been found by active learning (work saved over sampling at 95% recall, WSS@95). The labelled dataset is provided in ASReview-compatible format (CSV with column </w:t>
      </w:r>
      <w:r>
        <w:rPr>
          <w:i/>
          <w:iCs/>
        </w:rPr>
        <w:t xml:space="preserve">included</w:t>
      </w:r>
      <w:r>
        <w:t xml:space="preserve">; RIS with ASReview_relevant/irrelevant notes) so that human team members can verify every label in </w:t>
      </w:r>
      <w:r>
        <w:rPr>
          <w:b/>
          <w:bCs/>
        </w:rPr>
        <w:t xml:space="preserve">ASReview LAB Validation mode</w:t>
      </w:r>
      <w:r>
        <w:t xml:space="preserve"> before the full-text stage.</w:t>
      </w:r>
    </w:p>
    <w:p>
      <w:pPr>
        <w:spacing w:after="120" w:line="300"/>
        <w:jc w:val="both"/>
      </w:pPr>
      <w:r>
        <w:rPr>
          <w:b/>
          <w:bCs/>
        </w:rPr>
        <w:t xml:space="preserve">Search and selection validation.</w:t>
      </w:r>
      <w:r>
        <w:t xml:space="preserve"> The 25 studies included by Zhang et al. [1] served as a benchmark set. Retrieval of the benchmark studies by our search and their classification during screening are reported in Supplementary Table S5.</w:t>
      </w:r>
    </w:p>
    <w:p>
      <w:pPr>
        <w:spacing w:after="120" w:line="300"/>
        <w:jc w:val="both"/>
      </w:pPr>
      <w:r>
        <w:rPr>
          <w:b/>
          <w:bCs/>
        </w:rPr>
        <w:t xml:space="preserve">Full-text assessment.</w:t>
      </w:r>
      <w:r>
        <w:t xml:space="preserve"> Full texts of all records included at title/abstract stage are retrieved and assessed independently by two reviewers using the full-text form (exclusion reasons FT1–FT8, Table 1); disagreements are resolved by the third reviewer. Reasons for exclusion at full-text stage are reported for each record (Supplementary Table S6). Where several reports describe the same dataset, the most complete report is retained.</w:t>
      </w:r>
    </w:p>
    <w:p>
      <w:pPr>
        <w:spacing w:after="80" w:before="160"/>
      </w:pPr>
      <w:r>
        <w:rPr>
          <w:b/>
          <w:bCs/>
          <w:sz w:val="20"/>
          <w:szCs w:val="20"/>
        </w:rPr>
        <w:t xml:space="preserve">Table 3. Reviewer team and roles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200"/>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Role</w:t>
            </w:r>
          </w:p>
        </w:tc>
        <w:tc>
          <w:tcPr>
            <w:tcW w:type="dxa" w:w="4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Reviewer profile (dental background)</w:t>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Task</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Reviewer 1 (R1)</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Oral and maxillofacial surgeon (DMD, MD); dentoalveolar and implant surgery, oral oncology, TMJ; research on patient information and informed consent</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Independent title/abstract screening of all records (calibration + main round)</w:t>
            </w:r>
          </w:p>
        </w:tc>
      </w:tr>
      <w:tr>
        <w:trPr>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Reviewer 2 (R2)</w:t>
            </w:r>
          </w:p>
        </w:tc>
        <w:tc>
          <w:tcPr>
            <w:tcW w:type="dxa" w:w="4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Orthodontist and paediatric dentist (DDS, MSc) with postgraduate training in dental public health; research on oral-health literacy, readability and quality of online patient information (DISCERN, PEMAT)</w:t>
            </w:r>
          </w:p>
        </w:tc>
        <w:tc>
          <w:tcPr>
            <w:tcW w:type="dxa" w:w="3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Independent title/abstract screening of all records (calibration + main round)</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Reviewer 3 (R3)</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Periodontist and restorative dentist; senior evidence-based-dentistry methodologist (systematic review and GRADE experience)</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Arbitration of all conflicts and UNSURE records; safety re-check of records flagged by the ASReview quality control</w:t>
            </w:r>
          </w:p>
        </w:tc>
      </w:tr>
    </w:tbl>
    <w:p>
      <w:pPr>
        <w:pStyle w:val="Heading1"/>
        <w:spacing w:after="160" w:before="300"/>
      </w:pPr>
      <w:r>
        <w:t xml:space="preserve">8. Data extraction</w:t>
      </w:r>
    </w:p>
    <w:p>
      <w:pPr>
        <w:spacing w:after="120" w:line="300"/>
        <w:jc w:val="both"/>
      </w:pPr>
      <w:r>
        <w:t xml:space="preserve">Data were extracted with a standardised, piloted extraction form (Excel; piloted on five studies) by two reviewers independently, with disagreements resolved by discussion or by the third reviewer. Extraction items extend the framework of Zhang et al. [1] (their Table S2) with safety-specific and model-specific items (Table 4). When a study evaluated several chatbots or versions, data were extracted separately for each model arm. Missing or unclear data were requested from corresponding authors (two reminders over four weeks).</w:t>
      </w:r>
    </w:p>
    <w:p>
      <w:pPr>
        <w:spacing w:after="120" w:line="300"/>
        <w:jc w:val="both"/>
      </w:pPr>
      <w:r>
        <w:rPr>
          <w:b/>
          <w:bCs/>
        </w:rPr>
        <w:t xml:space="preserve">Outcome definitions.</w:t>
      </w:r>
      <w:r>
        <w:t xml:space="preserve"> </w:t>
      </w:r>
      <w:r>
        <w:rPr>
          <w:i/>
          <w:iCs/>
        </w:rPr>
        <w:t xml:space="preserve">Accuracy</w:t>
      </w:r>
      <w:r>
        <w:t xml:space="preserve"> (primary) was defined as the degree to which the content of an LLM response is factually correct and consistent with current evidence, guidelines or expert consensus, as judged by the study's evaluators. Accuracy reported as a proportion of responses rated correct/acceptable was extracted as a proportion (categorical format); accuracy reported on multi-point scales was extracted as mean and SD together with the scale range (continuous format). When studies reported several accuracy-related constructs, a hierarchy was applied: explicit accuracy/correctness &gt; appropriateness/guideline concordance &gt; content-quality score with an accuracy component (e.g. GQS). </w:t>
      </w:r>
      <w:r>
        <w:rPr>
          <w:i/>
          <w:iCs/>
        </w:rPr>
        <w:t xml:space="preserve">Potentially harmful errors</w:t>
      </w:r>
      <w:r>
        <w:t xml:space="preserve"> were responses that evaluators judged able to cause physical, psychological or financial harm if followed, extracted with the study's own harm definition and, where available, severity (graded according to the likelihood/extent-of-harm framework of Singhal et al. [9]). </w:t>
      </w:r>
      <w:r>
        <w:rPr>
          <w:i/>
          <w:iCs/>
        </w:rPr>
        <w:t xml:space="preserve">Safety-relevant omissions</w:t>
      </w:r>
      <w:r>
        <w:t xml:space="preserve"> were missing information whose absence could compromise patient safety. All reported errors and omissions were additionally coded into a prespecified safety taxonomy (Table 5), applied independently by two reviewers.</w:t>
      </w:r>
    </w:p>
    <w:p>
      <w:pPr>
        <w:spacing w:after="80" w:before="160"/>
      </w:pPr>
      <w:r>
        <w:rPr>
          <w:b/>
          <w:bCs/>
          <w:sz w:val="20"/>
          <w:szCs w:val="20"/>
        </w:rPr>
        <w:t xml:space="preserve">Table 4. Data extraction domains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Domain</w:t>
            </w:r>
          </w:p>
        </w:tc>
        <w:tc>
          <w:tcPr>
            <w:tcW w:type="dxa" w:w="7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Data items (definitions/categories in Supplementary Table S2)</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Study</w:t>
            </w:r>
          </w:p>
        </w:tc>
        <w:tc>
          <w:tcPr>
            <w:tcW w:type="dxa" w:w="7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First author, year, country, journal, funding, conflicts of interest, ethics statement, study design label</w:t>
            </w:r>
          </w:p>
        </w:tc>
      </w:tr>
      <w:tr>
        <w:trPr>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Specialty / topic</w:t>
            </w:r>
          </w:p>
        </w:tc>
        <w:tc>
          <w:tcPr>
            <w:tcW w:type="dxa" w:w="7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Primary dental specialty (a-priori categories, Table PICOS), secondary specialty, clinical topic</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Task</w:t>
            </w:r>
          </w:p>
        </w:tc>
        <w:tc>
          <w:tcPr>
            <w:tcW w:type="dxa" w:w="7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Task type (T1 answering patient questions/FAQs; T2 generating patient education material/instructions; T3 lay scenario/symptom or emergency advice); question source (website/FAQ, clinician-written, real patient queries, LLM-generated, guideline-derived, mixed); collection date; number and type of questions (open/closed); difficulty strata; query language; persona/role prompts</w:t>
            </w:r>
          </w:p>
        </w:tc>
      </w:tr>
      <w:tr>
        <w:trPr>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Model</w:t>
            </w:r>
          </w:p>
        </w:tc>
        <w:tc>
          <w:tcPr>
            <w:tcW w:type="dxa" w:w="7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Chatbot, developer, exact version/model ID, model generation, open vs closed weights, access date(s), interface (web/app/API), subscription tier, settings (temperature), web browsing/retrieval enabled, custom instructions</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Conversation</w:t>
            </w:r>
          </w:p>
        </w:tc>
        <w:tc>
          <w:tcPr>
            <w:tcW w:type="dxa" w:w="7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Verbatim prompt, prompt engineering (none/role/structured), new session per question, multi-turn vs single-turn, number of repetitions</w:t>
            </w:r>
          </w:p>
        </w:tc>
      </w:tr>
      <w:tr>
        <w:trPr>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Evaluation</w:t>
            </w:r>
          </w:p>
        </w:tc>
        <w:tc>
          <w:tcPr>
            <w:tcW w:type="dxa" w:w="7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Number, specialty and experience of evaluators; blinding (model identity, human vs AI); reference standard (guidelines, textbooks, expert consensus); rating instrument and scale anchors; dichotomisation threshold; inter-rater reliability (statistic, value); consistency analysis</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Primary outcomes (per model arm)</w:t>
            </w:r>
          </w:p>
        </w:tc>
        <w:tc>
          <w:tcPr>
            <w:tcW w:type="dxa" w:w="7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Accuracy: n accurate / n responses (and definition), or mean (SD)/median (IQR) on stated scale; potentially harmful errors: n responses judged potentially harmful, harm severity; safety-relevant omissions: n responses with omission (type); verbatim examples</w:t>
            </w:r>
          </w:p>
        </w:tc>
      </w:tr>
      <w:tr>
        <w:trPr>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Secondary outcomes</w:t>
            </w:r>
          </w:p>
        </w:tc>
        <w:tc>
          <w:tcPr>
            <w:tcW w:type="dxa" w:w="7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Completeness, GQS, DISCERN/EQIP, readability indices, PEMAT-U/A, consistency, empathy, length, disclaimer/referral frequency, comparison with human experts</w:t>
            </w:r>
          </w:p>
        </w:tc>
      </w:tr>
    </w:tbl>
    <w:p>
      <w:pPr>
        <w:spacing w:after="80" w:before="160"/>
      </w:pPr>
      <w:r>
        <w:rPr>
          <w:b/>
          <w:bCs/>
          <w:sz w:val="20"/>
          <w:szCs w:val="20"/>
        </w:rPr>
        <w:t xml:space="preserve">Table 5. Prespecified safety taxonomy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00"/>
      </w:tblGrid>
      <w:tr>
        <w:trPr>
          <w:tblHeader/>
        </w:trPr>
        <w:tc>
          <w:tcPr>
            <w:tcW w:type="dxa" w:w="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Code</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Safety category</w:t>
            </w:r>
          </w:p>
        </w:tc>
        <w:tc>
          <w:tcPr>
            <w:tcW w:type="dxa" w:w="5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Examples (dental)</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Factual error</w:t>
            </w:r>
          </w:p>
        </w:tc>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Incorrect statement contradicting current evidence or guidelines (e.g. wrong indication for antibiotic prophylaxis)</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S2</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Outdated information</w:t>
            </w:r>
          </w:p>
        </w:tc>
        <w:tc>
          <w:tcPr>
            <w:tcW w:type="dxa" w:w="5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Superseded recommendations (e.g. obsolete storage media advice for avulsed teeth)</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Hallucination / fabrication</w:t>
            </w:r>
          </w:p>
        </w:tc>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Non-existent references, products, guidelines or statistics</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S4</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Inappropriate or unsafe recommendation</w:t>
            </w:r>
          </w:p>
        </w:tc>
        <w:tc>
          <w:tcPr>
            <w:tcW w:type="dxa" w:w="5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Medication/dosage errors, contraindicated self-treatment, advice that delays necessary care</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Omission of red flags / emergency advice</w:t>
            </w:r>
          </w:p>
        </w:tc>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Missing urgency for avulsion, facial swelling/airway risk, oral cancer warning signs, post-extraction bleeding</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S6</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Omission of referral / disclaimer</w:t>
            </w:r>
          </w:p>
        </w:tc>
        <w:tc>
          <w:tcPr>
            <w:tcW w:type="dxa" w:w="5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No recommendation to consult a dentist or emergency service where indicated</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S7</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Omission of risks, contraindications or alternatives</w:t>
            </w:r>
          </w:p>
        </w:tc>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Missing complications, side-effects or alternative treatments (informed-consent relevant)</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S8</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Overconfident diagnosis / unwarranted certainty</w:t>
            </w:r>
          </w:p>
        </w:tc>
        <w:tc>
          <w:tcPr>
            <w:tcW w:type="dxa" w:w="5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Definitive diagnosis without examination; false reassurance</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S9</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Inconsistency with safety impact</w:t>
            </w:r>
          </w:p>
        </w:tc>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Contradictory advice across repetitions or model versions</w:t>
            </w:r>
          </w:p>
        </w:tc>
      </w:tr>
    </w:tbl>
    <w:p>
      <w:pPr>
        <w:pStyle w:val="Heading1"/>
        <w:spacing w:after="160" w:before="300"/>
      </w:pPr>
      <w:r>
        <w:t xml:space="preserve">9. Risk of bias (quality) assessment</w:t>
      </w:r>
    </w:p>
    <w:p>
      <w:pPr>
        <w:spacing w:after="120" w:line="300"/>
        <w:jc w:val="both"/>
      </w:pPr>
      <w:r>
        <w:t xml:space="preserve">Methodological quality and risk of bias were assessed independently by two reviewers with a modified QUADAS-2 tool [10] adapted for LLM evaluation studies, building on the 20-item checklist of Wei et al. and Zhang et al. [1,11] (Table 6). The original domains were mapped to D1 task/question generation (patient selection), D2 model and conversation structure (index test) and D3 evaluation (reference standard); the </w:t>
      </w:r>
      <w:r>
        <w:rPr>
          <w:i/>
          <w:iCs/>
        </w:rPr>
        <w:t xml:space="preserve">flow and timing</w:t>
      </w:r>
      <w:r>
        <w:t xml:space="preserve"> domain was replaced by a new domain D4 </w:t>
      </w:r>
      <w:r>
        <w:rPr>
          <w:i/>
          <w:iCs/>
        </w:rPr>
        <w:t xml:space="preserve">outcome reporting and safety assessment</w:t>
      </w:r>
      <w:r>
        <w:t xml:space="preserve">, reflecting the safety focus of this review. A domain was judged at low risk of bias if all signalling questions were answered </w:t>
      </w:r>
      <w:r>
        <w:rPr>
          <w:i/>
          <w:iCs/>
        </w:rPr>
        <w:t xml:space="preserve">yes</w:t>
      </w:r>
      <w:r>
        <w:t xml:space="preserve">, at high risk if at least one critical question (items 3, 7, 12, 14 or 20) was answered </w:t>
      </w:r>
      <w:r>
        <w:rPr>
          <w:i/>
          <w:iCs/>
        </w:rPr>
        <w:t xml:space="preserve">no</w:t>
      </w:r>
      <w:r>
        <w:t xml:space="preserve">, and unclear otherwise. Reporting completeness was additionally scored against the Chatbot Assessment Reporting Tool (CHART) [12] and the METRICS checklist [13] (percentage of applicable items reported). Disagreements were resolved by consensus or by the third reviewer. Results are presented as traffic-light and summary plots (robvis).</w:t>
      </w:r>
    </w:p>
    <w:p>
      <w:pPr>
        <w:spacing w:after="80" w:before="160"/>
      </w:pPr>
      <w:r>
        <w:rPr>
          <w:b/>
          <w:bCs/>
          <w:sz w:val="20"/>
          <w:szCs w:val="20"/>
        </w:rPr>
        <w:t xml:space="preserve">Table 6. Modified QUADAS-2 for LLM chatbot evaluation studies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1300"/>
        <w:gridCol w:w="1500"/>
      </w:tblGrid>
      <w:tr>
        <w:trPr>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7"/>
                <w:szCs w:val="17"/>
              </w:rPr>
              <w:t xml:space="preserve">Domain</w:t>
            </w:r>
          </w:p>
        </w:tc>
        <w:tc>
          <w:tcPr>
            <w:tcW w:type="dxa" w:w="4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7"/>
                <w:szCs w:val="17"/>
              </w:rPr>
              <w:t xml:space="preserve">Signalling questions (Yes / No / Unclear)</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7"/>
                <w:szCs w:val="17"/>
              </w:rPr>
              <w:t xml:space="preserve">Risk-of-bias judgement</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7"/>
                <w:szCs w:val="17"/>
              </w:rPr>
              <w:t xml:space="preserve">Applicability concern</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D1 Task / question generation</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1. Source of questions reported and representative of real patient queries?</w:t>
            </w:r>
          </w:p>
          <w:p>
            <w:pPr>
              <w:spacing w:after="20"/>
            </w:pPr>
            <w:r>
              <w:rPr>
                <w:sz w:val="17"/>
                <w:szCs w:val="17"/>
              </w:rPr>
              <w:t xml:space="preserve">2. Source/collection date reported?</w:t>
            </w:r>
          </w:p>
          <w:p>
            <w:pPr>
              <w:spacing w:after="20"/>
            </w:pPr>
            <w:r>
              <w:rPr>
                <w:sz w:val="17"/>
                <w:szCs w:val="17"/>
              </w:rPr>
              <w:t xml:space="preserve">3. Number of questions adequate (≥20) and selection pre-specified?</w:t>
            </w:r>
          </w:p>
          <w:p>
            <w:pPr>
              <w:spacing w:after="20"/>
            </w:pPr>
            <w:r>
              <w:rPr>
                <w:sz w:val="17"/>
                <w:szCs w:val="17"/>
              </w:rPr>
              <w:t xml:space="preserve">4. Questions free of leading/ambiguous wording and available verbatim?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Low / High / Unclear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Are questions representative of what patients actually ask?</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D2 Model and conversation (index test)</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5. Chatbot and exact version reported?</w:t>
            </w:r>
          </w:p>
          <w:p>
            <w:pPr>
              <w:spacing w:after="20"/>
            </w:pPr>
            <w:r>
              <w:rPr>
                <w:sz w:val="17"/>
                <w:szCs w:val="17"/>
              </w:rPr>
              <w:t xml:space="preserve">6. Date(s) of inquiry reported?</w:t>
            </w:r>
          </w:p>
          <w:p>
            <w:pPr>
              <w:spacing w:after="20"/>
            </w:pPr>
            <w:r>
              <w:rPr>
                <w:sz w:val="17"/>
                <w:szCs w:val="17"/>
              </w:rPr>
              <w:t xml:space="preserve">7. Prompt reported verbatim and free of answer-shaping instructions?</w:t>
            </w:r>
          </w:p>
          <w:p>
            <w:pPr>
              <w:spacing w:after="20"/>
            </w:pPr>
            <w:r>
              <w:rPr>
                <w:sz w:val="17"/>
                <w:szCs w:val="17"/>
              </w:rPr>
              <w:t xml:space="preserve">8. Interface (web/API) and settings reported?</w:t>
            </w:r>
          </w:p>
          <w:p>
            <w:pPr>
              <w:spacing w:after="20"/>
            </w:pPr>
            <w:r>
              <w:rPr>
                <w:sz w:val="17"/>
                <w:szCs w:val="17"/>
              </w:rPr>
              <w:t xml:space="preserve">9. Independent sessions (new chat per question)?</w:t>
            </w:r>
          </w:p>
          <w:p>
            <w:pPr>
              <w:spacing w:after="20"/>
            </w:pPr>
            <w:r>
              <w:rPr>
                <w:sz w:val="17"/>
                <w:szCs w:val="17"/>
              </w:rPr>
              <w:t xml:space="preserve">10. Repetitions performed (≥2) and handled appropriately?</w:t>
            </w:r>
          </w:p>
          <w:p>
            <w:pPr>
              <w:spacing w:after="20"/>
            </w:pPr>
            <w:r>
              <w:rPr>
                <w:sz w:val="17"/>
                <w:szCs w:val="17"/>
              </w:rPr>
              <w:t xml:space="preserve">11. Query language reported?</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Low / High / Unclear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Do model versions/settings reflect what patients use?</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D3 Evaluation (reference standard)</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12. Evaluators qualified dental professionals (specialty matched)?</w:t>
            </w:r>
          </w:p>
          <w:p>
            <w:pPr>
              <w:spacing w:after="20"/>
            </w:pPr>
            <w:r>
              <w:rPr>
                <w:sz w:val="17"/>
                <w:szCs w:val="17"/>
              </w:rPr>
              <w:t xml:space="preserve">13. ≥2 evaluators?</w:t>
            </w:r>
          </w:p>
          <w:p>
            <w:pPr>
              <w:spacing w:after="20"/>
            </w:pPr>
            <w:r>
              <w:rPr>
                <w:sz w:val="17"/>
                <w:szCs w:val="17"/>
              </w:rPr>
              <w:t xml:space="preserve">14. Evaluators blinded to model identity/source?</w:t>
            </w:r>
          </w:p>
          <w:p>
            <w:pPr>
              <w:spacing w:after="20"/>
            </w:pPr>
            <w:r>
              <w:rPr>
                <w:sz w:val="17"/>
                <w:szCs w:val="17"/>
              </w:rPr>
              <w:t xml:space="preserve">15. Explicit reference standard (guidelines/evidence)?</w:t>
            </w:r>
          </w:p>
          <w:p>
            <w:pPr>
              <w:spacing w:after="20"/>
            </w:pPr>
            <w:r>
              <w:rPr>
                <w:sz w:val="17"/>
                <w:szCs w:val="17"/>
              </w:rPr>
              <w:t xml:space="preserve">16. Rating scale with defined anchors (validated or pre-tested)?</w:t>
            </w:r>
          </w:p>
          <w:p>
            <w:pPr>
              <w:spacing w:after="20"/>
            </w:pPr>
            <w:r>
              <w:rPr>
                <w:sz w:val="17"/>
                <w:szCs w:val="17"/>
              </w:rPr>
              <w:t xml:space="preserve">17. Inter-rater reliability reported and acceptable?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Low / High / Unclear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Does the accuracy construct match the review definition?</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D4 Outcome reporting and safety assessment (added)</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18. All pre-specified outcomes reported for each model arm?</w:t>
            </w:r>
          </w:p>
          <w:p>
            <w:pPr>
              <w:spacing w:after="20"/>
            </w:pPr>
            <w:r>
              <w:rPr>
                <w:sz w:val="17"/>
                <w:szCs w:val="17"/>
              </w:rPr>
              <w:t xml:space="preserve">19. Disaggregated (per-question) data available?</w:t>
            </w:r>
          </w:p>
          <w:p>
            <w:pPr>
              <w:spacing w:after="20"/>
            </w:pPr>
            <w:r>
              <w:rPr>
                <w:sz w:val="17"/>
                <w:szCs w:val="17"/>
              </w:rPr>
              <w:t xml:space="preserve">20. Harm/safety assessed with explicit criteria?</w:t>
            </w:r>
          </w:p>
          <w:p>
            <w:pPr>
              <w:spacing w:after="20"/>
            </w:pPr>
            <w:r>
              <w:rPr>
                <w:sz w:val="17"/>
                <w:szCs w:val="17"/>
              </w:rPr>
              <w:t xml:space="preserve">21. Consistency across repetitions reported?</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Low / High / Unclear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w:t>
            </w:r>
          </w:p>
        </w:tc>
      </w:tr>
    </w:tbl>
    <w:p>
      <w:pPr>
        <w:pStyle w:val="Heading1"/>
        <w:spacing w:after="160" w:before="300"/>
      </w:pPr>
      <w:r>
        <w:t xml:space="preserve">10. Strategy for data synthesis</w:t>
      </w:r>
    </w:p>
    <w:p>
      <w:pPr>
        <w:spacing w:after="120" w:line="300"/>
        <w:jc w:val="both"/>
      </w:pPr>
      <w:r>
        <w:rPr>
          <w:b/>
          <w:bCs/>
        </w:rPr>
        <w:t xml:space="preserve">Effect measures.</w:t>
      </w:r>
      <w:r>
        <w:t xml:space="preserve"> Categorical accuracy: proportion of responses rated accurate/acceptable (with 95% CI). Continuous accuracy: mean score transformed to the percentage of maximum possible (POMP = (mean − scale minimum)/(scale maximum − scale minimum) × 100) [14], with SDs rescaled accordingly. Safety: proportion of responses with ≥1 potentially harmful error and proportion with ≥1 safety-relevant omission.</w:t>
      </w:r>
    </w:p>
    <w:p>
      <w:pPr>
        <w:spacing w:after="120" w:line="300"/>
        <w:jc w:val="both"/>
      </w:pPr>
      <w:r>
        <w:rPr>
          <w:b/>
          <w:bCs/>
        </w:rPr>
        <w:t xml:space="preserve">Synthesis.</w:t>
      </w:r>
      <w:r>
        <w:t xml:space="preserve"> Studies were grouped by dental specialty (primary grouping, secondary question), model family/generation and task type. Meta-analysis was undertaken when ≥3 studies reported a comparable outcome in the same format. Proportions were pooled with a random-intercept logistic (generalised linear mixed) model [15,16]; inverse-variance pooling of logit-transformed proportions with REML τ² estimation and Hartung-Knapp-Sidik-Jonkman confidence intervals [17] was used as a sensitivity analysis. POMP-transformed mean scores were pooled with a random-effects model (REML, HKSJ). Because most studies evaluate several chatbots on the same question set, model arms are statistically dependent; dependence was handled with three-level random-effects models (arms nested within studies) [18] using metafor [19], and with one arm per study (best-performing and, separately, most recent general-purpose model) in sensitivity analyses. Heterogeneity was quantified with τ², I² (multilevel I² where applicable) and 95% prediction intervals. Analyses were run in R with the packages meta and metafor [19,20].</w:t>
      </w:r>
    </w:p>
    <w:p>
      <w:pPr>
        <w:spacing w:after="120" w:line="300"/>
        <w:jc w:val="both"/>
      </w:pPr>
      <w:r>
        <w:rPr>
          <w:b/>
          <w:bCs/>
        </w:rPr>
        <w:t xml:space="preserve">Explaining heterogeneity (secondary question).</w:t>
      </w:r>
      <w:r>
        <w:t xml:space="preserve"> Pre-specified moderators were: dental specialty; model family and generation (GPT-3.5; GPT-4/4-turbo; GPT-4o/o-series/GPT-5; Gemini/Bard; Copilot/Bing; Claude; open-weight and other models); task type (T1–T3); question source; number of questions; prompt engineering (none vs role/structured); query language (English vs other); evaluator type and number; blinding; rating instrument (Likert 3–5 point vs ≥6 point vs validated quality scale); risk-of-bias rating; and publication year. Subgroup analyses (test for subgroup differences) and multilevel meta-regression were conducted when each level contained ≥3 studies (≥10 studies per moderator for meta-regression); paired within-study comparisons of model versions were analysed separately as differences in proportions/POMP.</w:t>
      </w:r>
    </w:p>
    <w:p>
      <w:pPr>
        <w:spacing w:after="120" w:line="300"/>
        <w:jc w:val="both"/>
      </w:pPr>
      <w:r>
        <w:rPr>
          <w:b/>
          <w:bCs/>
        </w:rPr>
        <w:t xml:space="preserve">Synthesis without meta-analysis.</w:t>
      </w:r>
      <w:r>
        <w:t xml:space="preserve"> Where pooling was inappropriate (e.g. heterogeneous harm definitions), results were synthesised narratively following the SWiM guideline [21]: safety findings were tabulated by taxonomy category (Table 5) and specialty, with frequencies of studies and responses affected, and illustrated with verbatim examples. Vote counting based on statistical significance was not used.</w:t>
      </w:r>
    </w:p>
    <w:p>
      <w:pPr>
        <w:spacing w:after="120" w:line="300"/>
        <w:jc w:val="both"/>
      </w:pPr>
      <w:r>
        <w:rPr>
          <w:b/>
          <w:bCs/>
        </w:rPr>
        <w:t xml:space="preserve">Sensitivity analyses</w:t>
      </w:r>
      <w:r>
        <w:t xml:space="preserve"> included leave-one-out analysis; restriction to studies at low risk of bias in D3; exclusion of studies using composite quality scales as accuracy surrogate; alternative dichotomisation thresholds for Likert-type data (e.g. ≥4/5 vs 5/5 = accurate); exclusion of research letters; and fixed- vs random-effects pooling.</w:t>
      </w:r>
    </w:p>
    <w:p>
      <w:pPr>
        <w:spacing w:after="120" w:line="300"/>
        <w:jc w:val="both"/>
      </w:pPr>
      <w:r>
        <w:rPr>
          <w:b/>
          <w:bCs/>
        </w:rPr>
        <w:t xml:space="preserve">Reporting bias and certainty.</w:t>
      </w:r>
      <w:r>
        <w:t xml:space="preserve"> Small-study effects were explored with funnel plots and Egger's test [22] when ≥10 studies contributed to an analysis (interpreted cautiously for proportions). Certainty of evidence for each primary outcome was rated with an adapted GRADE approach [23] (risk of bias, inconsistency, indirectness – including obsolescence of evaluated model versions –, imprecision and publication bias) and summarised in a Summary-of-Findings table. The PRISMA flow diagram was produced according to PRISMA 2020 [24,25].</w:t>
      </w:r>
    </w:p>
    <w:p>
      <w:pPr>
        <w:pStyle w:val="Heading1"/>
        <w:spacing w:after="160" w:before="300"/>
      </w:pPr>
      <w:r>
        <w:t xml:space="preserve">11. Analysis of subgroups or subsets</w:t>
      </w:r>
    </w:p>
    <w:p>
      <w:pPr>
        <w:pStyle w:val="ListParagraph"/>
        <w:numPr>
          <w:ilvl w:val="0"/>
          <w:numId w:val="2"/>
        </w:numPr>
        <w:spacing w:after="60" w:line="280"/>
      </w:pPr>
      <w:r>
        <w:t xml:space="preserve">Dental specialty (a-priori categories, see PICOS)</w:t>
      </w:r>
    </w:p>
    <w:p>
      <w:pPr>
        <w:pStyle w:val="ListParagraph"/>
        <w:numPr>
          <w:ilvl w:val="0"/>
          <w:numId w:val="2"/>
        </w:numPr>
        <w:spacing w:after="60" w:line="280"/>
      </w:pPr>
      <w:r>
        <w:t xml:space="preserve">Model family/generation: GPT-3.5; GPT-4/4-turbo; GPT-4o/o-series/GPT-5; Gemini/Bard; Copilot/Bing; Claude; open-weight/other (Llama, DeepSeek, Mistral, Qwen, ERNIE)</w:t>
      </w:r>
    </w:p>
    <w:p>
      <w:pPr>
        <w:pStyle w:val="ListParagraph"/>
        <w:numPr>
          <w:ilvl w:val="0"/>
          <w:numId w:val="2"/>
        </w:numPr>
        <w:spacing w:after="60" w:line="280"/>
      </w:pPr>
      <w:r>
        <w:t xml:space="preserve">Task type: T1 patient questions/FAQ; T2 patient education material/instructions; T3 lay scenario/emergency advice</w:t>
      </w:r>
    </w:p>
    <w:p>
      <w:pPr>
        <w:pStyle w:val="ListParagraph"/>
        <w:numPr>
          <w:ilvl w:val="0"/>
          <w:numId w:val="2"/>
        </w:numPr>
        <w:spacing w:after="60" w:line="280"/>
      </w:pPr>
      <w:r>
        <w:t xml:space="preserve">Question source; number of questions; query language; prompt engineering</w:t>
      </w:r>
    </w:p>
    <w:p>
      <w:pPr>
        <w:pStyle w:val="ListParagraph"/>
        <w:numPr>
          <w:ilvl w:val="0"/>
          <w:numId w:val="2"/>
        </w:numPr>
        <w:spacing w:after="60" w:line="280"/>
      </w:pPr>
      <w:r>
        <w:t xml:space="preserve">Evaluation: evaluator type and number; blinding; rating instrument; dichotomisation; risk of bias</w:t>
      </w:r>
    </w:p>
    <w:p>
      <w:pPr>
        <w:pStyle w:val="ListParagraph"/>
        <w:numPr>
          <w:ilvl w:val="0"/>
          <w:numId w:val="2"/>
        </w:numPr>
        <w:spacing w:after="60" w:line="280"/>
      </w:pPr>
      <w:r>
        <w:t xml:space="preserve">Publication year (proxy for model evolution)</w:t>
      </w:r>
    </w:p>
    <w:p>
      <w:pPr>
        <w:pStyle w:val="Heading1"/>
        <w:spacing w:after="160" w:before="300"/>
      </w:pPr>
      <w:r>
        <w:t xml:space="preserve">12. Outcomes</w:t>
      </w:r>
    </w:p>
    <w:p>
      <w:pPr>
        <w:spacing w:after="120" w:line="300"/>
        <w:jc w:val="both"/>
      </w:pPr>
      <w:r>
        <w:rPr>
          <w:b/>
          <w:bCs/>
        </w:rPr>
        <w:t xml:space="preserve">Main outcomes:</w:t>
      </w:r>
      <w:r>
        <w:t xml:space="preserve"> (1) accuracy – proportion of responses rated accurate/acceptable or POMP-transformed mean accuracy score; (2) proportion of responses with potentially harmful errors (with severity); (3) proportion of responses with safety-relevant omissions; (4) frequency of safety taxonomy categories S1–S9.</w:t>
      </w:r>
    </w:p>
    <w:p>
      <w:pPr>
        <w:spacing w:after="120" w:line="300"/>
        <w:jc w:val="both"/>
      </w:pPr>
      <w:r>
        <w:rPr>
          <w:b/>
          <w:bCs/>
        </w:rPr>
        <w:t xml:space="preserve">Additional outcomes:</w:t>
      </w:r>
      <w:r>
        <w:t xml:space="preserve"> completeness; quality (GQS, DISCERN, EQIP); readability; PEMAT understandability/actionability; consistency; empathy; referral/disclaimer frequency; inter-rater reliability of included studies.</w:t>
      </w:r>
    </w:p>
    <w:p>
      <w:pPr>
        <w:pStyle w:val="Heading1"/>
        <w:spacing w:after="160" w:before="300"/>
      </w:pPr>
      <w:r>
        <w:t xml:space="preserve">13. Dissemination, data sharing and amendments</w:t>
      </w:r>
    </w:p>
    <w:p>
      <w:pPr>
        <w:spacing w:after="120" w:line="300"/>
        <w:jc w:val="both"/>
      </w:pPr>
      <w:r>
        <w:t xml:space="preserve">All data (search exports, deduplication log, screening decisions, extraction, risk-of-bias assessments, analysis code) will be shared openly (</w:t>
      </w:r>
      <w:r>
        <w:rPr>
          <w:highlight w:val="yellow"/>
          <w:highlightCs w:val="yellow"/>
        </w:rPr>
        <w:t xml:space="preserve">[OSF/Zenodo]</w:t>
      </w:r>
      <w:r>
        <w:t xml:space="preserve">). Results will be submitted to a peer-reviewed dental journal.</w:t>
      </w:r>
    </w:p>
    <w:p>
      <w:pPr>
        <w:spacing w:after="80" w:before="160"/>
      </w:pPr>
      <w:r>
        <w:rPr>
          <w:b/>
          <w:bCs/>
          <w:sz w:val="20"/>
          <w:szCs w:val="20"/>
        </w:rPr>
        <w:t xml:space="preserve">Amendment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00"/>
      </w:tblGrid>
      <w:tr>
        <w:trPr>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Version / date</w:t>
            </w:r>
          </w:p>
        </w:tc>
        <w:tc>
          <w:tcPr>
            <w:tcW w:type="dxa" w:w="5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Amendment</w:t>
            </w:r>
          </w:p>
        </w:tc>
        <w:tc>
          <w:tcPr>
            <w:tcW w:type="dxa" w:w="2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Reason</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1.0 / 2026-10-08</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Initial protocol: PICOS, sources, screening guide v1.0</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w:t>
            </w:r>
          </w:p>
        </w:tc>
      </w:tr>
      <w:tr>
        <w:trPr>
          <w:tblHeader w:val="false"/>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1.1 / 2026-10-08</w:t>
            </w:r>
          </w:p>
        </w:tc>
        <w:tc>
          <w:tcPr>
            <w:tcW w:type="dxa" w:w="5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Screening guide clarifications (E5 priority for non-primary publications; knowledge benchmarks = E3; expert-written patient-topic questions = include; quality instruments count as content evaluation; LLM as baseline in non-patient task = E3; unclear chatbot architecture = E2)</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Calibration round (κ = 1.00, n = 60)</w:t>
            </w:r>
          </w:p>
        </w:tc>
      </w:tr>
      <w:tr>
        <w:trPr>
          <w:tblHeader w:val="false"/>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1.2 (planned, full-text stage)</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Decision rules for full text: (a) JAMA benchmark or PEMAT alone do not satisfy the content-evaluation criterion (FT4); (b) guideline- or article-derived question sets are eligible only if explicitly framed for patients/lay public; (c) head-and-neck/ENT studies only if an oral-cavity/dental component is defined and separately reported; (d) journal digests/secondary summaries = FT5</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Recurring sources of disagreement identified by R3 during title/abstract arbitration (not applied retroactively)</w:t>
            </w:r>
          </w:p>
        </w:tc>
      </w:tr>
      <w:tr>
        <w:trPr>
          <w:tblHeader w:val="false"/>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highlight w:val="yellow"/>
                <w:highlightCs w:val="yellow"/>
              </w:rPr>
              <w:t xml:space="preserve">[next]</w:t>
            </w:r>
          </w:p>
        </w:tc>
        <w:tc>
          <w:tcPr>
            <w:tcW w:type="dxa" w:w="5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highlight w:val="yellow"/>
                <w:highlightCs w:val="yellow"/>
              </w:rPr>
              <w:t xml:space="preserve">[e.g. addition of Scopus/WoS/Embase searches]</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highlight w:val="yellow"/>
                <w:highlightCs w:val="yellow"/>
              </w:rPr>
              <w:t xml:space="preserve">[ ]</w:t>
            </w:r>
          </w:p>
        </w:tc>
      </w:tr>
    </w:tbl>
    <w:p>
      <w:pPr>
        <w:pStyle w:val="Heading1"/>
        <w:spacing w:after="160" w:before="300"/>
      </w:pPr>
      <w:r>
        <w:t xml:space="preserve">14. Timeline and next steps (work plan)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1700"/>
        <w:gridCol w:w="2300"/>
      </w:tblGrid>
      <w:tr>
        <w:trPr>
          <w:tblHeader/>
        </w:trPr>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7"/>
                <w:szCs w:val="17"/>
              </w:rPr>
              <w:t xml:space="preserve">Step</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7"/>
                <w:szCs w:val="17"/>
              </w:rPr>
              <w:t xml:space="preserve">Status</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7"/>
                <w:szCs w:val="17"/>
              </w:rPr>
              <w:t xml:space="preserve">Responsible</w:t>
            </w:r>
          </w:p>
        </w:tc>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7"/>
                <w:szCs w:val="17"/>
              </w:rPr>
              <w:t xml:space="preserve">Output</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Search (10 sources), export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Completed 02-10-2026</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Information specialist</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Raw records workbook (7,734 records)</w:t>
            </w:r>
          </w:p>
        </w:tc>
      </w:tr>
      <w:tr>
        <w:trPr>
          <w:tblHeader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Deduplication &amp; automated filter</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Completed</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Team lead</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Screening set (2164 records)</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Calibration (60 records)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Completed (κ = 1.00)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R1, R2</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Guide v1.1</w:t>
            </w:r>
          </w:p>
        </w:tc>
      </w:tr>
      <w:tr>
        <w:trPr>
          <w:tblHeader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Title/abstract screening + arbitration</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Completed</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R1, R2, R3</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Screening sheet; 349 records to full text</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ASReview QC + human validation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QC completed; human validation pending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R3; human team</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ASReview project files</w:t>
            </w:r>
          </w:p>
        </w:tc>
      </w:tr>
      <w:tr>
        <w:trPr>
          <w:tblHeader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Complementary searches (Scopus, WoS, Embase, Google Scholar, citation chasing)</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Pending</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Information specialist</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PRISMA update</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PROSPERO registration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Pending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Team lead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CRD number</w:t>
            </w:r>
          </w:p>
        </w:tc>
      </w:tr>
      <w:tr>
        <w:trPr>
          <w:tblHeader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Full-text retrieval &amp; screening</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Pending</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R1, R2, R3</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FT sheet, reasons FT1–FT8</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Data extraction (pilot 5 studies, then all)</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Pending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2 extractors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Extraction form</w:t>
            </w:r>
          </w:p>
        </w:tc>
      </w:tr>
      <w:tr>
        <w:trPr>
          <w:tblHeader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Risk of bias (modified QUADAS-2), CHART/METRICS</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Pending</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2 reviewers</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RoB form, robvis plots</w:t>
            </w:r>
          </w:p>
        </w:tc>
      </w:tr>
      <w:tr>
        <w:trPr>
          <w:tblHeader w:val="false"/>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Meta-analysis, SWiM synthesis, GRADE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Pending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Statistician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Forest plots, SoF table</w:t>
            </w:r>
          </w:p>
        </w:tc>
      </w:tr>
      <w:tr>
        <w:trPr>
          <w:tblHeader w:val="false"/>
        </w:trPr>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Manuscript finalisation</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Draft available</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All</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7"/>
                <w:szCs w:val="17"/>
              </w:rPr>
              <w:t xml:space="preserve">Manuscript</w:t>
            </w:r>
          </w:p>
        </w:tc>
      </w:tr>
    </w:tbl>
    <w:p>
      <w:pPr>
        <w:pStyle w:val="Heading1"/>
        <w:spacing w:after="160" w:before="300"/>
      </w:pPr>
      <w:r>
        <w:t xml:space="preserve">References</w:t>
      </w:r>
    </w:p>
    <w:p>
      <w:pPr>
        <w:pStyle w:val="ListParagraph"/>
        <w:numPr>
          <w:ilvl w:val="0"/>
          <w:numId w:val="3"/>
        </w:numPr>
        <w:spacing w:after="60"/>
      </w:pPr>
      <w:r>
        <w:rPr>
          <w:sz w:val="19"/>
          <w:szCs w:val="19"/>
        </w:rPr>
        <w:t xml:space="preserve">Zhang R, Pan Y, Liu Y, Deng Y, Pow EHN. Leveraging large language models for patient instructions in dentistry—A systematic review and meta-analysis. J Prosthodont. 2025;1–10. doi:10.1111/jopr.70068</w:t>
      </w:r>
    </w:p>
    <w:p>
      <w:pPr>
        <w:pStyle w:val="ListParagraph"/>
        <w:numPr>
          <w:ilvl w:val="0"/>
          <w:numId w:val="3"/>
        </w:numPr>
        <w:spacing w:after="60"/>
      </w:pPr>
      <w:r>
        <w:rPr>
          <w:sz w:val="19"/>
          <w:szCs w:val="19"/>
        </w:rPr>
        <w:t xml:space="preserve">Rethlefsen ML, Kirtley S, Waffenschmidt S, et al. PRISMA-S: an extension to the PRISMA statement for reporting literature searches in systematic reviews. Syst Rev. 2021;10(1):39. doi:10.1186/s13643-020-01542-z</w:t>
      </w:r>
    </w:p>
    <w:p>
      <w:pPr>
        <w:pStyle w:val="ListParagraph"/>
        <w:numPr>
          <w:ilvl w:val="0"/>
          <w:numId w:val="3"/>
        </w:numPr>
        <w:spacing w:after="60"/>
      </w:pPr>
      <w:r>
        <w:rPr>
          <w:sz w:val="19"/>
          <w:szCs w:val="19"/>
        </w:rPr>
        <w:t xml:space="preserve">Higgins JPT, Thomas J, Chandler J, et al., editors. Cochrane Handbook for Systematic Reviews of Interventions. Version 6.5. Cochrane; 2024. Available from www.training.cochrane.org/handbook</w:t>
      </w:r>
    </w:p>
    <w:p>
      <w:pPr>
        <w:pStyle w:val="ListParagraph"/>
        <w:numPr>
          <w:ilvl w:val="0"/>
          <w:numId w:val="3"/>
        </w:numPr>
        <w:spacing w:after="60"/>
      </w:pPr>
      <w:r>
        <w:rPr>
          <w:sz w:val="19"/>
          <w:szCs w:val="19"/>
        </w:rPr>
        <w:t xml:space="preserve">Flemyng E, Noel-Storr A, Macura B, et al. Position statement on artificial intelligence (AI) use in evidence synthesis across Cochrane, the Campbell Collaboration, JBI and the Collaboration for Environmental Evidence 2025. Campbell Syst Rev. 2025. doi:10.1002/cl2.70074</w:t>
      </w:r>
    </w:p>
    <w:p>
      <w:pPr>
        <w:pStyle w:val="ListParagraph"/>
        <w:numPr>
          <w:ilvl w:val="0"/>
          <w:numId w:val="3"/>
        </w:numPr>
        <w:spacing w:after="60"/>
      </w:pPr>
      <w:r>
        <w:rPr>
          <w:sz w:val="19"/>
          <w:szCs w:val="19"/>
        </w:rPr>
        <w:t xml:space="preserve">McHugh ML. Interrater reliability: the kappa statistic. Biochem Med (Zagreb). 2012;22(3):276–82.</w:t>
      </w:r>
    </w:p>
    <w:p>
      <w:pPr>
        <w:pStyle w:val="ListParagraph"/>
        <w:numPr>
          <w:ilvl w:val="0"/>
          <w:numId w:val="3"/>
        </w:numPr>
        <w:spacing w:after="60"/>
      </w:pPr>
      <w:r>
        <w:rPr>
          <w:sz w:val="19"/>
          <w:szCs w:val="19"/>
        </w:rPr>
        <w:t xml:space="preserve">Landis JR, Koch GG. The measurement of observer agreement for categorical data. Biometrics. 1977;33(1):159–74.</w:t>
      </w:r>
    </w:p>
    <w:p>
      <w:pPr>
        <w:pStyle w:val="ListParagraph"/>
        <w:numPr>
          <w:ilvl w:val="0"/>
          <w:numId w:val="3"/>
        </w:numPr>
        <w:spacing w:after="60"/>
      </w:pPr>
      <w:r>
        <w:rPr>
          <w:sz w:val="19"/>
          <w:szCs w:val="19"/>
        </w:rPr>
        <w:t xml:space="preserve">van de Schoot R, de Bruin J, Schram R, et al. An open source machine learning framework for efficient and transparent systematic reviews. Nat Mach Intell. 2021;3:125–33. doi:10.1038/s42256-020-00287-7</w:t>
      </w:r>
    </w:p>
    <w:p>
      <w:pPr>
        <w:pStyle w:val="ListParagraph"/>
        <w:numPr>
          <w:ilvl w:val="0"/>
          <w:numId w:val="3"/>
        </w:numPr>
        <w:spacing w:after="60"/>
      </w:pPr>
      <w:r>
        <w:rPr>
          <w:sz w:val="19"/>
          <w:szCs w:val="19"/>
        </w:rPr>
        <w:t xml:space="preserve">Boetje J, van de Schoot R. The SAFE procedure: a practical stopping heuristic for active learning-based screening in systematic reviews and meta-analyses. Syst Rev. 2024;13(1):81. doi:10.1186/s13643-024-02502-7</w:t>
      </w:r>
    </w:p>
    <w:p>
      <w:pPr>
        <w:pStyle w:val="ListParagraph"/>
        <w:numPr>
          <w:ilvl w:val="0"/>
          <w:numId w:val="3"/>
        </w:numPr>
        <w:spacing w:after="60"/>
      </w:pPr>
      <w:r>
        <w:rPr>
          <w:sz w:val="19"/>
          <w:szCs w:val="19"/>
        </w:rPr>
        <w:t xml:space="preserve">Singhal K, Azizi S, Tu T, et al. Large language models encode clinical knowledge. Nature. 2023;620(7972):172–80. doi:10.1038/s41586-023-06291-2</w:t>
      </w:r>
    </w:p>
    <w:p>
      <w:pPr>
        <w:pStyle w:val="ListParagraph"/>
        <w:numPr>
          <w:ilvl w:val="0"/>
          <w:numId w:val="3"/>
        </w:numPr>
        <w:spacing w:after="60"/>
      </w:pPr>
      <w:r>
        <w:rPr>
          <w:sz w:val="19"/>
          <w:szCs w:val="19"/>
        </w:rPr>
        <w:t xml:space="preserve">Whiting PF, Rutjes AWS, Westwood ME, et al. QUADAS-2: a revised tool for the quality assessment of diagnostic accuracy studies. Ann Intern Med. 2011;155(8):529–36. doi:10.7326/0003-4819-155-8-201110180-00009</w:t>
      </w:r>
    </w:p>
    <w:p>
      <w:pPr>
        <w:pStyle w:val="ListParagraph"/>
        <w:numPr>
          <w:ilvl w:val="0"/>
          <w:numId w:val="3"/>
        </w:numPr>
        <w:spacing w:after="60"/>
      </w:pPr>
      <w:r>
        <w:rPr>
          <w:sz w:val="19"/>
          <w:szCs w:val="19"/>
        </w:rPr>
        <w:t xml:space="preserve">Wei Q, Yao Z, Cui Y, Wei B, Jin Z, Xu X. Evaluation of ChatGPT-generated medical responses: a systematic review and meta-analysis. J Biomed Inform. 2024;151:104620. doi:10.1016/j.jbi.2024.104620</w:t>
      </w:r>
    </w:p>
    <w:p>
      <w:pPr>
        <w:pStyle w:val="ListParagraph"/>
        <w:numPr>
          <w:ilvl w:val="0"/>
          <w:numId w:val="3"/>
        </w:numPr>
        <w:spacing w:after="60"/>
      </w:pPr>
      <w:r>
        <w:rPr>
          <w:sz w:val="19"/>
          <w:szCs w:val="19"/>
        </w:rPr>
        <w:t xml:space="preserve">CHART Collaborative; Huo B, Collins GS, et al. Reporting guideline for chatbot health advice studies: the CHART statement. Artif Intell Med. 2025;168:103222. doi:10.1016/j.artmed.2025.103222 (co-published in BMJ Med, JAMA Netw Open, Ann Fam Med and Br J Surg)</w:t>
      </w:r>
    </w:p>
    <w:p>
      <w:pPr>
        <w:pStyle w:val="ListParagraph"/>
        <w:numPr>
          <w:ilvl w:val="0"/>
          <w:numId w:val="3"/>
        </w:numPr>
        <w:spacing w:after="60"/>
      </w:pPr>
      <w:r>
        <w:rPr>
          <w:sz w:val="19"/>
          <w:szCs w:val="19"/>
        </w:rPr>
        <w:t xml:space="preserve">Sallam M, Barakat M, Sallam M. A preliminary checklist (METRICS) to standardize the design and reporting of studies on generative artificial intelligence-based models in health care education and practice: development study involving a literature review. Interact J Med Res. 2024;13:e54704. doi:10.2196/54704</w:t>
      </w:r>
    </w:p>
    <w:p>
      <w:pPr>
        <w:pStyle w:val="ListParagraph"/>
        <w:numPr>
          <w:ilvl w:val="0"/>
          <w:numId w:val="3"/>
        </w:numPr>
        <w:spacing w:after="60"/>
      </w:pPr>
      <w:r>
        <w:rPr>
          <w:sz w:val="19"/>
          <w:szCs w:val="19"/>
        </w:rPr>
        <w:t xml:space="preserve">Cohen P, Cohen J, Aiken LS, West SG. The problem of units and the circumstance for POMP. Multivariate Behav Res. 1999;34(3):315–46. doi:10.1207/S15327906MBR3403_2</w:t>
      </w:r>
    </w:p>
    <w:p>
      <w:pPr>
        <w:pStyle w:val="ListParagraph"/>
        <w:numPr>
          <w:ilvl w:val="0"/>
          <w:numId w:val="3"/>
        </w:numPr>
        <w:spacing w:after="60"/>
      </w:pPr>
      <w:r>
        <w:rPr>
          <w:sz w:val="19"/>
          <w:szCs w:val="19"/>
        </w:rPr>
        <w:t xml:space="preserve">Lin L, Chu H. Meta-analysis of proportions using generalized linear mixed models. Epidemiology. 2020;31(5):713–7. doi:10.1097/EDE.0000000000001232</w:t>
      </w:r>
    </w:p>
    <w:p>
      <w:pPr>
        <w:pStyle w:val="ListParagraph"/>
        <w:numPr>
          <w:ilvl w:val="0"/>
          <w:numId w:val="3"/>
        </w:numPr>
        <w:spacing w:after="60"/>
      </w:pPr>
      <w:r>
        <w:rPr>
          <w:sz w:val="19"/>
          <w:szCs w:val="19"/>
        </w:rPr>
        <w:t xml:space="preserve">Barker TH, Migliavaca CB, Stein C, et al. Conducting proportional meta-analysis in different types of systematic reviews: a guide for synthesisers of evidence. BMC Med Res Methodol. 2021;21(1):189. doi:10.1186/s12874-021-01381-z</w:t>
      </w:r>
    </w:p>
    <w:p>
      <w:pPr>
        <w:pStyle w:val="ListParagraph"/>
        <w:numPr>
          <w:ilvl w:val="0"/>
          <w:numId w:val="3"/>
        </w:numPr>
        <w:spacing w:after="60"/>
      </w:pPr>
      <w:r>
        <w:rPr>
          <w:sz w:val="19"/>
          <w:szCs w:val="19"/>
        </w:rPr>
        <w:t xml:space="preserve">IntHout J, Ioannidis JPA, Borm GF. The Hartung-Knapp-Sidik-Jonkman method for random effects meta-analysis is straightforward and considerably outperforms the standard DerSimonian-Laird method. BMC Med Res Methodol. 2014;14:25. doi:10.1186/1471-2288-14-25</w:t>
      </w:r>
    </w:p>
    <w:p>
      <w:pPr>
        <w:pStyle w:val="ListParagraph"/>
        <w:numPr>
          <w:ilvl w:val="0"/>
          <w:numId w:val="3"/>
        </w:numPr>
        <w:spacing w:after="60"/>
      </w:pPr>
      <w:r>
        <w:rPr>
          <w:sz w:val="19"/>
          <w:szCs w:val="19"/>
        </w:rPr>
        <w:t xml:space="preserve">Cheung MWL. Modeling dependent effect sizes with three-level meta-analyses: a structural equation modeling approach. Psychol Methods. 2014;19(2):211–29. doi:10.1037/a0032968</w:t>
      </w:r>
    </w:p>
    <w:p>
      <w:pPr>
        <w:pStyle w:val="ListParagraph"/>
        <w:numPr>
          <w:ilvl w:val="0"/>
          <w:numId w:val="3"/>
        </w:numPr>
        <w:spacing w:after="60"/>
      </w:pPr>
      <w:r>
        <w:rPr>
          <w:sz w:val="19"/>
          <w:szCs w:val="19"/>
        </w:rPr>
        <w:t xml:space="preserve">Viechtbauer W. Conducting meta-analyses in R with the metafor package. J Stat Softw. 2010;36(3):1–48. doi:10.18637/jss.v036.i03</w:t>
      </w:r>
    </w:p>
    <w:p>
      <w:pPr>
        <w:pStyle w:val="ListParagraph"/>
        <w:numPr>
          <w:ilvl w:val="0"/>
          <w:numId w:val="3"/>
        </w:numPr>
        <w:spacing w:after="60"/>
      </w:pPr>
      <w:r>
        <w:rPr>
          <w:sz w:val="19"/>
          <w:szCs w:val="19"/>
        </w:rPr>
        <w:t xml:space="preserve">Balduzzi S, Rücker G, Schwarzer G. How to perform a meta-analysis with R: a practical tutorial. Evid Based Ment Health. 2019;22(4):153–60. doi:10.1136/ebmental-2019-300117</w:t>
      </w:r>
    </w:p>
    <w:p>
      <w:pPr>
        <w:pStyle w:val="ListParagraph"/>
        <w:numPr>
          <w:ilvl w:val="0"/>
          <w:numId w:val="3"/>
        </w:numPr>
        <w:spacing w:after="60"/>
      </w:pPr>
      <w:r>
        <w:rPr>
          <w:sz w:val="19"/>
          <w:szCs w:val="19"/>
        </w:rPr>
        <w:t xml:space="preserve">Campbell M, McKenzie JE, Sowden A, et al. Synthesis without meta-analysis (SWiM) in systematic reviews: reporting guideline. BMJ. 2020;368:l6890. doi:10.1136/bmj.l6890</w:t>
      </w:r>
    </w:p>
    <w:p>
      <w:pPr>
        <w:pStyle w:val="ListParagraph"/>
        <w:numPr>
          <w:ilvl w:val="0"/>
          <w:numId w:val="3"/>
        </w:numPr>
        <w:spacing w:after="60"/>
      </w:pPr>
      <w:r>
        <w:rPr>
          <w:sz w:val="19"/>
          <w:szCs w:val="19"/>
        </w:rPr>
        <w:t xml:space="preserve">Egger M, Davey Smith G, Schneider M, Minder C. Bias in meta-analysis detected by a simple, graphical test. BMJ. 1997;315(7109):629–34. doi:10.1136/bmj.315.7109.629</w:t>
      </w:r>
    </w:p>
    <w:p>
      <w:pPr>
        <w:pStyle w:val="ListParagraph"/>
        <w:numPr>
          <w:ilvl w:val="0"/>
          <w:numId w:val="3"/>
        </w:numPr>
        <w:spacing w:after="60"/>
      </w:pPr>
      <w:r>
        <w:rPr>
          <w:sz w:val="19"/>
          <w:szCs w:val="19"/>
        </w:rPr>
        <w:t xml:space="preserve">Guyatt GH, Oxman AD, Vist GE, et al. GRADE: an emerging consensus on rating quality of evidence and strength of recommendations. BMJ. 2008;336(7650):924–6. doi:10.1136/bmj.39489.470347.AD</w:t>
      </w:r>
    </w:p>
    <w:p>
      <w:pPr>
        <w:pStyle w:val="ListParagraph"/>
        <w:numPr>
          <w:ilvl w:val="0"/>
          <w:numId w:val="3"/>
        </w:numPr>
        <w:spacing w:after="60"/>
      </w:pPr>
      <w:r>
        <w:rPr>
          <w:sz w:val="19"/>
          <w:szCs w:val="19"/>
        </w:rPr>
        <w:t xml:space="preserve">Page MJ, McKenzie JE, Bossuyt PM, et al. The PRISMA 2020 statement: an updated guideline for reporting systematic reviews. BMJ. 2021;372:n71. doi:10.1136/bmj.n71</w:t>
      </w:r>
    </w:p>
    <w:p>
      <w:pPr>
        <w:pStyle w:val="ListParagraph"/>
        <w:numPr>
          <w:ilvl w:val="0"/>
          <w:numId w:val="3"/>
        </w:numPr>
        <w:spacing w:after="60"/>
      </w:pPr>
      <w:r>
        <w:rPr>
          <w:sz w:val="19"/>
          <w:szCs w:val="19"/>
        </w:rPr>
        <w:t xml:space="preserve">Haddaway NR, Page MJ, Pritchard CC, McGuinness LA. PRISMA2020: an R package and Shiny app for producing PRISMA 2020-compliant flow diagrams, with interactivity for optimised digital transparency and Open Synthesis. Campbell Syst Rev. 2022;18(2):e1230. doi:10.1002/cl2.1230</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Protocol – LLM chatbots for dental patient information (systematic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460" w:hanging="4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100" w:before="160"/>
      <w:outlineLvl w:val="2"/>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 LLM chatbots for dental patient information (systematic review)</dc:title>
  <dc:creator>LLM-Dental SR team</dc:creator>
  <cp:lastModifiedBy>Un-named</cp:lastModifiedBy>
  <cp:revision>1</cp:revision>
  <dcterms:created xsi:type="dcterms:W3CDTF">2026-10-08T21:06:11.390Z</dcterms:created>
  <dcterms:modified xsi:type="dcterms:W3CDTF">2026-10-08T21:06:11.392Z</dcterms:modified>
</cp:coreProperties>
</file>

<file path=docProps/custom.xml><?xml version="1.0" encoding="utf-8"?>
<Properties xmlns="http://schemas.openxmlformats.org/officeDocument/2006/custom-properties" xmlns:vt="http://schemas.openxmlformats.org/officeDocument/2006/docPropsVTypes"/>
</file>